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E2A" w:rsidP="001B4E2A" w:rsidRDefault="001B4E2A">
      <w:pPr>
        <w:tabs>
          <w:tab w:val="left" w:pos="16620"/>
        </w:tabs>
        <w:rPr>
          <w:b/>
        </w:rPr>
      </w:pPr>
      <w:r>
        <w:rPr>
          <w:b/>
        </w:rPr>
        <w:t xml:space="preserve">INTRODUCTION </w:t>
      </w:r>
    </w:p>
    <w:p w:rsidRPr="00BA0E78" w:rsidR="001B4E2A" w:rsidP="001B4E2A" w:rsidRDefault="001B4E2A">
      <w:pPr>
        <w:tabs>
          <w:tab w:val="left" w:pos="16620"/>
        </w:tabs>
        <w:rPr>
          <w:b/>
        </w:rPr>
      </w:pPr>
    </w:p>
    <w:p w:rsidR="001B4E2A" w:rsidP="001B4E2A" w:rsidRDefault="001B4E2A">
      <w:pPr>
        <w:tabs>
          <w:tab w:val="left" w:pos="16620"/>
        </w:tabs>
      </w:pPr>
      <w:r>
        <w:t xml:space="preserve">The Hertsmere Borough Council Youth Projects Team is continuously working to improve the efficiency and effectiveness of provision for young people in the borough. </w:t>
      </w:r>
    </w:p>
    <w:p w:rsidR="001B4E2A" w:rsidP="001B4E2A" w:rsidRDefault="001B4E2A">
      <w:pPr>
        <w:tabs>
          <w:tab w:val="left" w:pos="16620"/>
        </w:tabs>
      </w:pPr>
    </w:p>
    <w:p w:rsidR="001B4E2A" w:rsidP="001B4E2A" w:rsidRDefault="001B4E2A">
      <w:pPr>
        <w:tabs>
          <w:tab w:val="left" w:pos="16620"/>
        </w:tabs>
      </w:pPr>
      <w:r>
        <w:t xml:space="preserve">Our 2011/2012 research project addressed the view “There is nothing for young people to do in Hertsmere”.  </w:t>
      </w:r>
    </w:p>
    <w:p w:rsidR="001B4E2A" w:rsidP="001B4E2A" w:rsidRDefault="001B4E2A">
      <w:pPr>
        <w:tabs>
          <w:tab w:val="left" w:pos="16620"/>
        </w:tabs>
      </w:pPr>
    </w:p>
    <w:p w:rsidR="001B4E2A" w:rsidP="001B4E2A" w:rsidRDefault="001B4E2A">
      <w:pPr>
        <w:tabs>
          <w:tab w:val="left" w:pos="16620"/>
        </w:tabs>
      </w:pPr>
      <w:r>
        <w:t>In October 2012, we embark</w:t>
      </w:r>
      <w:r>
        <w:t>ed</w:t>
      </w:r>
      <w:r>
        <w:t xml:space="preserve"> on a new research project to deepen our understanding of youth provision in the local community. Our 2012/2013 research builds on our findings from last year. </w:t>
      </w:r>
    </w:p>
    <w:p w:rsidRPr="007A7302" w:rsidR="001B4E2A" w:rsidP="001B4E2A" w:rsidRDefault="001B4E2A">
      <w:pPr>
        <w:tabs>
          <w:tab w:val="left" w:pos="16620"/>
        </w:tabs>
        <w:rPr>
          <w:b/>
          <w:sz w:val="20"/>
        </w:rPr>
      </w:pPr>
    </w:p>
    <w:p w:rsidRPr="00A232FA" w:rsidR="001B4E2A" w:rsidP="001B4E2A" w:rsidRDefault="001B4E2A">
      <w:pPr>
        <w:tabs>
          <w:tab w:val="left" w:pos="16620"/>
        </w:tabs>
        <w:rPr>
          <w:b/>
          <w:sz w:val="28"/>
        </w:rPr>
      </w:pPr>
      <w:r>
        <w:rPr>
          <w:b/>
          <w:sz w:val="28"/>
        </w:rPr>
        <w:t xml:space="preserve">Hypothesis ~ </w:t>
      </w:r>
      <w:r w:rsidRPr="00A232FA">
        <w:rPr>
          <w:b/>
          <w:sz w:val="28"/>
        </w:rPr>
        <w:t>a youth research project addressing the view:</w:t>
      </w:r>
    </w:p>
    <w:p w:rsidR="001B4E2A" w:rsidP="001B4E2A" w:rsidRDefault="001B4E2A">
      <w:pPr>
        <w:tabs>
          <w:tab w:val="left" w:pos="16620"/>
        </w:tabs>
      </w:pPr>
    </w:p>
    <w:p w:rsidRPr="00A232FA" w:rsidR="001B4E2A" w:rsidP="001B4E2A" w:rsidRDefault="001B4E2A">
      <w:pPr>
        <w:tabs>
          <w:tab w:val="left" w:pos="16620"/>
        </w:tabs>
        <w:rPr>
          <w:b/>
          <w:sz w:val="36"/>
        </w:rPr>
      </w:pPr>
      <w:r w:rsidRPr="00A232FA">
        <w:rPr>
          <w:b/>
          <w:sz w:val="36"/>
        </w:rPr>
        <w:t>“Young people don’t need activities they need aspirations”</w:t>
      </w:r>
    </w:p>
    <w:p w:rsidR="001B4E2A" w:rsidP="001B4E2A" w:rsidRDefault="001B4E2A">
      <w:pPr>
        <w:tabs>
          <w:tab w:val="left" w:pos="16620"/>
        </w:tabs>
      </w:pPr>
    </w:p>
    <w:p w:rsidR="001B4E2A" w:rsidP="001B4E2A" w:rsidRDefault="001B4E2A">
      <w:pPr>
        <w:tabs>
          <w:tab w:val="left" w:pos="16620"/>
        </w:tabs>
      </w:pPr>
      <w:r>
        <w:t xml:space="preserve">Our 2011/2012 research uncovered some interesting findings with regard to the wants and needs of young people living in Hertsmere. We studied what the young people told us, in conjunction with motivational theory. Our analysis pointed towards the idea that what young people want/need is less about the ‘type of activity’ and more about having personal (psychological and physical) needs met. </w:t>
      </w:r>
    </w:p>
    <w:p w:rsidR="001B4E2A" w:rsidP="001B4E2A" w:rsidRDefault="001B4E2A">
      <w:pPr>
        <w:tabs>
          <w:tab w:val="left" w:pos="16620"/>
        </w:tabs>
      </w:pPr>
    </w:p>
    <w:p w:rsidR="001B4E2A" w:rsidP="001B4E2A" w:rsidRDefault="001B4E2A">
      <w:pPr>
        <w:tabs>
          <w:tab w:val="left" w:pos="16620"/>
        </w:tabs>
      </w:pPr>
      <w:r>
        <w:t xml:space="preserve">This led us to become more curious about the types of projects in the local community that are successful. </w:t>
      </w:r>
    </w:p>
    <w:p w:rsidR="001B4E2A" w:rsidP="001B4E2A" w:rsidRDefault="001B4E2A">
      <w:pPr>
        <w:tabs>
          <w:tab w:val="left" w:pos="16620"/>
        </w:tabs>
      </w:pPr>
    </w:p>
    <w:p w:rsidR="001B4E2A" w:rsidP="001B4E2A" w:rsidRDefault="00C834E7">
      <w:pPr>
        <w:tabs>
          <w:tab w:val="left" w:pos="16620"/>
        </w:tabs>
      </w:pPr>
      <w:r>
        <w:t xml:space="preserve">Our previous research steered </w:t>
      </w:r>
      <w:bookmarkStart w:name="_GoBack" w:id="0"/>
      <w:bookmarkEnd w:id="0"/>
      <w:r w:rsidR="001B4E2A">
        <w:t xml:space="preserve">us to the above hypothesis as it highlighted a new point of view that the focus for the development of youth projects could be more effective.  Our focus up until now has been on providing activities to entertain young people with the sub focus on reducing antisocial behaviour. </w:t>
      </w:r>
    </w:p>
    <w:p w:rsidR="001B4E2A" w:rsidP="001B4E2A" w:rsidRDefault="001B4E2A">
      <w:pPr>
        <w:tabs>
          <w:tab w:val="left" w:pos="16620"/>
        </w:tabs>
      </w:pPr>
    </w:p>
    <w:p w:rsidR="001B4E2A" w:rsidP="001B4E2A" w:rsidRDefault="001B4E2A">
      <w:pPr>
        <w:tabs>
          <w:tab w:val="left" w:pos="16620"/>
        </w:tabs>
      </w:pPr>
      <w:r>
        <w:t>Our new thinking was spawned following a new summer project whereby young people were tasked with researching and developing an activity programme that they wanted for themselves and their peers. Despite them having full decision over this, the attendance numbers hit an all-time low.</w:t>
      </w:r>
    </w:p>
    <w:p w:rsidR="001B4E2A" w:rsidP="001B4E2A" w:rsidRDefault="001B4E2A">
      <w:pPr>
        <w:tabs>
          <w:tab w:val="left" w:pos="16620"/>
        </w:tabs>
      </w:pPr>
    </w:p>
    <w:p w:rsidR="001B4E2A" w:rsidP="001B4E2A" w:rsidRDefault="001B4E2A">
      <w:pPr>
        <w:tabs>
          <w:tab w:val="left" w:pos="16620"/>
        </w:tabs>
      </w:pPr>
      <w:r>
        <w:t xml:space="preserve">The variation and type of ‘activity’ that is available and attractive to people is vast. Trying to meet needs from the perspective of ‘activity’ is virtually impossible with the available resources. People like to do all sorts of different things. However – if we focus on their </w:t>
      </w:r>
      <w:r>
        <w:rPr>
          <w:i/>
        </w:rPr>
        <w:t>reasons</w:t>
      </w:r>
      <w:r>
        <w:t xml:space="preserve"> (or motivations) for taking part in an activity they can be narrowed down to a handful of basic needs which are described in </w:t>
      </w:r>
      <w:proofErr w:type="gramStart"/>
      <w:r>
        <w:t>all of the</w:t>
      </w:r>
      <w:proofErr w:type="gramEnd"/>
      <w:r>
        <w:t xml:space="preserve"> major motivational theories.</w:t>
      </w:r>
    </w:p>
    <w:p w:rsidR="001B4E2A" w:rsidP="001B4E2A" w:rsidRDefault="001B4E2A">
      <w:pPr>
        <w:tabs>
          <w:tab w:val="left" w:pos="16620"/>
        </w:tabs>
      </w:pPr>
      <w:r>
        <w:rPr>
          <w:noProof/>
          <w:lang w:eastAsia="en-GB"/>
        </w:rPr>
        <mc:AlternateContent>
          <mc:Choice Requires="wps">
            <w:drawing>
              <wp:anchor distT="0" distB="0" distL="114300" distR="114300" simplePos="0" relativeHeight="251659264" behindDoc="0" locked="0" layoutInCell="1" allowOverlap="1" wp14:editId="2DD6AC2A" wp14:anchorId="1E2FE0FA">
                <wp:simplePos x="0" y="0"/>
                <wp:positionH relativeFrom="column">
                  <wp:posOffset>9525</wp:posOffset>
                </wp:positionH>
                <wp:positionV relativeFrom="paragraph">
                  <wp:posOffset>160020</wp:posOffset>
                </wp:positionV>
                <wp:extent cx="6377305" cy="2362200"/>
                <wp:effectExtent l="0" t="0" r="234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305" cy="2362200"/>
                        </a:xfrm>
                        <a:prstGeom prst="rect">
                          <a:avLst/>
                        </a:prstGeom>
                        <a:solidFill>
                          <a:srgbClr val="FFFFFF"/>
                        </a:solidFill>
                        <a:ln w="9525">
                          <a:solidFill>
                            <a:srgbClr val="000000"/>
                          </a:solidFill>
                          <a:miter lim="800000"/>
                          <a:headEnd/>
                          <a:tailEnd/>
                        </a:ln>
                      </wps:spPr>
                      <wps:txbx>
                        <w:txbxContent>
                          <w:p w:rsidR="001B4E2A" w:rsidP="001B4E2A" w:rsidRDefault="001B4E2A">
                            <w:pPr>
                              <w:tabs>
                                <w:tab w:val="left" w:pos="16620"/>
                              </w:tabs>
                              <w:rPr>
                                <w:b/>
                              </w:rPr>
                            </w:pPr>
                            <w:r>
                              <w:rPr>
                                <w:b/>
                              </w:rPr>
                              <w:t>MOTIVATION AND MOTIVATION THEORY</w:t>
                            </w:r>
                          </w:p>
                          <w:p w:rsidR="001B4E2A" w:rsidP="001B4E2A" w:rsidRDefault="001B4E2A">
                            <w:pPr>
                              <w:tabs>
                                <w:tab w:val="left" w:pos="16620"/>
                              </w:tabs>
                              <w:rPr>
                                <w:b/>
                              </w:rPr>
                            </w:pPr>
                          </w:p>
                          <w:p w:rsidRPr="009122B9" w:rsidR="001B4E2A" w:rsidP="001B4E2A" w:rsidRDefault="001B4E2A">
                            <w:pPr>
                              <w:tabs>
                                <w:tab w:val="left" w:pos="16620"/>
                              </w:tabs>
                              <w:rPr>
                                <w:i/>
                              </w:rPr>
                            </w:pPr>
                            <w:proofErr w:type="gramStart"/>
                            <w:r w:rsidRPr="00CE63FA">
                              <w:rPr>
                                <w:b/>
                              </w:rPr>
                              <w:t>Content (need) theories.</w:t>
                            </w:r>
                            <w:proofErr w:type="gramEnd"/>
                            <w:r w:rsidRPr="00CE63FA">
                              <w:rPr>
                                <w:b/>
                              </w:rPr>
                              <w:t xml:space="preserve"> </w:t>
                            </w:r>
                            <w:r w:rsidRPr="00CE63FA">
                              <w:rPr>
                                <w:i/>
                              </w:rPr>
                              <w:t xml:space="preserve">These focus on motivation via factors internal to the individual that energise or direct behaviour. </w:t>
                            </w:r>
                          </w:p>
                          <w:p w:rsidR="001B4E2A" w:rsidP="001B4E2A" w:rsidRDefault="001B4E2A">
                            <w:pPr>
                              <w:tabs>
                                <w:tab w:val="left" w:pos="16620"/>
                              </w:tabs>
                            </w:pPr>
                            <w:r>
                              <w:t xml:space="preserve">Maslow: Physiological, security, belongingness, esteem, self-actualisation </w:t>
                            </w:r>
                          </w:p>
                          <w:p w:rsidR="001B4E2A" w:rsidP="001B4E2A" w:rsidRDefault="001B4E2A">
                            <w:pPr>
                              <w:tabs>
                                <w:tab w:val="left" w:pos="16620"/>
                              </w:tabs>
                            </w:pPr>
                            <w:proofErr w:type="spellStart"/>
                            <w:r>
                              <w:t>Alderfer</w:t>
                            </w:r>
                            <w:proofErr w:type="spellEnd"/>
                            <w:r>
                              <w:t xml:space="preserve">: Existence, relatedness, growth </w:t>
                            </w:r>
                          </w:p>
                          <w:p w:rsidR="001B4E2A" w:rsidP="001B4E2A" w:rsidRDefault="001B4E2A">
                            <w:pPr>
                              <w:tabs>
                                <w:tab w:val="left" w:pos="16620"/>
                              </w:tabs>
                            </w:pPr>
                            <w:r>
                              <w:t>Herzberg:</w:t>
                            </w:r>
                            <w:r w:rsidRPr="003E31BD">
                              <w:t xml:space="preserve"> </w:t>
                            </w:r>
                            <w:r>
                              <w:t>Affiliation, power, achievement</w:t>
                            </w:r>
                          </w:p>
                          <w:p w:rsidR="001B4E2A" w:rsidP="001B4E2A" w:rsidRDefault="001B4E2A">
                            <w:pPr>
                              <w:tabs>
                                <w:tab w:val="left" w:pos="16620"/>
                              </w:tabs>
                            </w:pPr>
                          </w:p>
                          <w:p w:rsidRPr="009122B9" w:rsidR="001B4E2A" w:rsidP="001B4E2A" w:rsidRDefault="001B4E2A">
                            <w:pPr>
                              <w:tabs>
                                <w:tab w:val="left" w:pos="16620"/>
                              </w:tabs>
                              <w:rPr>
                                <w:i/>
                              </w:rPr>
                            </w:pPr>
                            <w:proofErr w:type="gramStart"/>
                            <w:r>
                              <w:rPr>
                                <w:b/>
                              </w:rPr>
                              <w:t>Process (cognitive) theories.</w:t>
                            </w:r>
                            <w:proofErr w:type="gramEnd"/>
                            <w:r>
                              <w:t xml:space="preserve"> </w:t>
                            </w:r>
                            <w:r w:rsidRPr="00CE63FA">
                              <w:rPr>
                                <w:i/>
                              </w:rPr>
                              <w:t>These fo</w:t>
                            </w:r>
                            <w:r>
                              <w:rPr>
                                <w:i/>
                              </w:rPr>
                              <w:t xml:space="preserve">cus on motivation via conscious </w:t>
                            </w:r>
                            <w:r w:rsidRPr="00CE63FA">
                              <w:rPr>
                                <w:i/>
                              </w:rPr>
                              <w:t>human decision processes.</w:t>
                            </w:r>
                            <w:r>
                              <w:t xml:space="preserve"> </w:t>
                            </w:r>
                          </w:p>
                          <w:p w:rsidR="001B4E2A" w:rsidP="001B4E2A" w:rsidRDefault="001B4E2A">
                            <w:pPr>
                              <w:tabs>
                                <w:tab w:val="left" w:pos="16620"/>
                              </w:tabs>
                            </w:pPr>
                            <w:r>
                              <w:t>Vroom / Porter &amp; Lawler: Expectancy</w:t>
                            </w:r>
                          </w:p>
                          <w:p w:rsidR="001B4E2A" w:rsidP="001B4E2A" w:rsidRDefault="001B4E2A">
                            <w:pPr>
                              <w:tabs>
                                <w:tab w:val="left" w:pos="16620"/>
                              </w:tabs>
                            </w:pPr>
                            <w:r>
                              <w:t>John Stacey Adams: Equity</w:t>
                            </w:r>
                          </w:p>
                          <w:p w:rsidR="001B4E2A" w:rsidP="001B4E2A" w:rsidRDefault="001B4E2A">
                            <w:pPr>
                              <w:tabs>
                                <w:tab w:val="left" w:pos="16620"/>
                              </w:tabs>
                            </w:pPr>
                            <w:r>
                              <w:t>Locke &amp; Latham: Goal Setting</w:t>
                            </w:r>
                          </w:p>
                          <w:p w:rsidR="001B4E2A" w:rsidP="001B4E2A" w:rsidRDefault="001B4E2A">
                            <w:pPr>
                              <w:tabs>
                                <w:tab w:val="left" w:pos="16620"/>
                              </w:tabs>
                            </w:pPr>
                            <w:r>
                              <w:t>B.F. Skinner: Reinforcement</w:t>
                            </w:r>
                          </w:p>
                          <w:p w:rsidR="001B4E2A" w:rsidP="001B4E2A" w:rsidRDefault="001B4E2A">
                            <w:pPr>
                              <w:tabs>
                                <w:tab w:val="left" w:pos="16620"/>
                              </w:tabs>
                            </w:pPr>
                          </w:p>
                          <w:p w:rsidR="001B4E2A" w:rsidP="001B4E2A" w:rsidRDefault="001B4E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75pt;margin-top:12.6pt;width:502.1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">
                <v:textbox>
                  <w:txbxContent>
                    <w:p w:rsidR="001B4E2A" w:rsidP="001B4E2A" w:rsidRDefault="001B4E2A">
                      <w:pPr>
                        <w:tabs>
                          <w:tab w:val="left" w:pos="16620"/>
                        </w:tabs>
                        <w:rPr>
                          <w:b/>
                        </w:rPr>
                      </w:pPr>
                      <w:r>
                        <w:rPr>
                          <w:b/>
                        </w:rPr>
                        <w:t>MOTIVATION AND MOTIVATION THEORY</w:t>
                      </w:r>
                    </w:p>
                    <w:p w:rsidR="001B4E2A" w:rsidP="001B4E2A" w:rsidRDefault="001B4E2A">
                      <w:pPr>
                        <w:tabs>
                          <w:tab w:val="left" w:pos="16620"/>
                        </w:tabs>
                        <w:rPr>
                          <w:b/>
                        </w:rPr>
                      </w:pPr>
                    </w:p>
                    <w:p w:rsidRPr="009122B9" w:rsidR="001B4E2A" w:rsidP="001B4E2A" w:rsidRDefault="001B4E2A">
                      <w:pPr>
                        <w:tabs>
                          <w:tab w:val="left" w:pos="16620"/>
                        </w:tabs>
                        <w:rPr>
                          <w:i/>
                        </w:rPr>
                      </w:pPr>
                      <w:proofErr w:type="gramStart"/>
                      <w:r w:rsidRPr="00CE63FA">
                        <w:rPr>
                          <w:b/>
                        </w:rPr>
                        <w:t>Content (need) theories.</w:t>
                      </w:r>
                      <w:proofErr w:type="gramEnd"/>
                      <w:r w:rsidRPr="00CE63FA">
                        <w:rPr>
                          <w:b/>
                        </w:rPr>
                        <w:t xml:space="preserve"> </w:t>
                      </w:r>
                      <w:r w:rsidRPr="00CE63FA">
                        <w:rPr>
                          <w:i/>
                        </w:rPr>
                        <w:t xml:space="preserve">These focus on motivation via factors internal to the individual that energise or direct behaviour. </w:t>
                      </w:r>
                    </w:p>
                    <w:p w:rsidR="001B4E2A" w:rsidP="001B4E2A" w:rsidRDefault="001B4E2A">
                      <w:pPr>
                        <w:tabs>
                          <w:tab w:val="left" w:pos="16620"/>
                        </w:tabs>
                      </w:pPr>
                      <w:r>
                        <w:t xml:space="preserve">Maslow: Physiological, security, belongingness, esteem, self-actualisation </w:t>
                      </w:r>
                    </w:p>
                    <w:p w:rsidR="001B4E2A" w:rsidP="001B4E2A" w:rsidRDefault="001B4E2A">
                      <w:pPr>
                        <w:tabs>
                          <w:tab w:val="left" w:pos="16620"/>
                        </w:tabs>
                      </w:pPr>
                      <w:proofErr w:type="spellStart"/>
                      <w:r>
                        <w:t>Alderfer</w:t>
                      </w:r>
                      <w:proofErr w:type="spellEnd"/>
                      <w:r>
                        <w:t xml:space="preserve">: Existence, relatedness, growth </w:t>
                      </w:r>
                    </w:p>
                    <w:p w:rsidR="001B4E2A" w:rsidP="001B4E2A" w:rsidRDefault="001B4E2A">
                      <w:pPr>
                        <w:tabs>
                          <w:tab w:val="left" w:pos="16620"/>
                        </w:tabs>
                      </w:pPr>
                      <w:r>
                        <w:t>Herzberg:</w:t>
                      </w:r>
                      <w:r w:rsidRPr="003E31BD">
                        <w:t xml:space="preserve"> </w:t>
                      </w:r>
                      <w:r>
                        <w:t>Affiliation, power, achievement</w:t>
                      </w:r>
                    </w:p>
                    <w:p w:rsidR="001B4E2A" w:rsidP="001B4E2A" w:rsidRDefault="001B4E2A">
                      <w:pPr>
                        <w:tabs>
                          <w:tab w:val="left" w:pos="16620"/>
                        </w:tabs>
                      </w:pPr>
                    </w:p>
                    <w:p w:rsidRPr="009122B9" w:rsidR="001B4E2A" w:rsidP="001B4E2A" w:rsidRDefault="001B4E2A">
                      <w:pPr>
                        <w:tabs>
                          <w:tab w:val="left" w:pos="16620"/>
                        </w:tabs>
                        <w:rPr>
                          <w:i/>
                        </w:rPr>
                      </w:pPr>
                      <w:proofErr w:type="gramStart"/>
                      <w:r>
                        <w:rPr>
                          <w:b/>
                        </w:rPr>
                        <w:t>Process (cognitive) theories.</w:t>
                      </w:r>
                      <w:proofErr w:type="gramEnd"/>
                      <w:r>
                        <w:t xml:space="preserve"> </w:t>
                      </w:r>
                      <w:r w:rsidRPr="00CE63FA">
                        <w:rPr>
                          <w:i/>
                        </w:rPr>
                        <w:t>These fo</w:t>
                      </w:r>
                      <w:r>
                        <w:rPr>
                          <w:i/>
                        </w:rPr>
                        <w:t xml:space="preserve">cus on motivation via conscious </w:t>
                      </w:r>
                      <w:r w:rsidRPr="00CE63FA">
                        <w:rPr>
                          <w:i/>
                        </w:rPr>
                        <w:t>human decision processes.</w:t>
                      </w:r>
                      <w:r>
                        <w:t xml:space="preserve"> </w:t>
                      </w:r>
                    </w:p>
                    <w:p w:rsidR="001B4E2A" w:rsidP="001B4E2A" w:rsidRDefault="001B4E2A">
                      <w:pPr>
                        <w:tabs>
                          <w:tab w:val="left" w:pos="16620"/>
                        </w:tabs>
                      </w:pPr>
                      <w:r>
                        <w:t>Vroom / Porter &amp; Lawler: Expectancy</w:t>
                      </w:r>
                    </w:p>
                    <w:p w:rsidR="001B4E2A" w:rsidP="001B4E2A" w:rsidRDefault="001B4E2A">
                      <w:pPr>
                        <w:tabs>
                          <w:tab w:val="left" w:pos="16620"/>
                        </w:tabs>
                      </w:pPr>
                      <w:r>
                        <w:t>John Stacey Adams: Equity</w:t>
                      </w:r>
                    </w:p>
                    <w:p w:rsidR="001B4E2A" w:rsidP="001B4E2A" w:rsidRDefault="001B4E2A">
                      <w:pPr>
                        <w:tabs>
                          <w:tab w:val="left" w:pos="16620"/>
                        </w:tabs>
                      </w:pPr>
                      <w:r>
                        <w:t>Locke &amp; Latham: Goal Setting</w:t>
                      </w:r>
                    </w:p>
                    <w:p w:rsidR="001B4E2A" w:rsidP="001B4E2A" w:rsidRDefault="001B4E2A">
                      <w:pPr>
                        <w:tabs>
                          <w:tab w:val="left" w:pos="16620"/>
                        </w:tabs>
                      </w:pPr>
                      <w:r>
                        <w:t>B.F. Skinner: Reinforcement</w:t>
                      </w:r>
                    </w:p>
                    <w:p w:rsidR="001B4E2A" w:rsidP="001B4E2A" w:rsidRDefault="001B4E2A">
                      <w:pPr>
                        <w:tabs>
                          <w:tab w:val="left" w:pos="16620"/>
                        </w:tabs>
                      </w:pPr>
                    </w:p>
                    <w:p w:rsidR="001B4E2A" w:rsidP="001B4E2A" w:rsidRDefault="001B4E2A"/>
                  </w:txbxContent>
                </v:textbox>
              </v:shape>
            </w:pict>
          </mc:Fallback>
        </mc:AlternateContent>
      </w:r>
    </w:p>
    <w:p w:rsidR="001B4E2A" w:rsidP="001B4E2A" w:rsidRDefault="001B4E2A">
      <w:pPr>
        <w:tabs>
          <w:tab w:val="left" w:pos="16620"/>
        </w:tabs>
        <w:rPr>
          <w:b/>
        </w:rPr>
      </w:pPr>
    </w:p>
    <w:p w:rsidR="001B4E2A" w:rsidP="001B4E2A" w:rsidRDefault="001B4E2A">
      <w:pPr>
        <w:tabs>
          <w:tab w:val="left" w:pos="16620"/>
        </w:tabs>
        <w:rPr>
          <w:b/>
        </w:rPr>
      </w:pPr>
    </w:p>
    <w:p w:rsidR="001B4E2A" w:rsidP="001B4E2A" w:rsidRDefault="001B4E2A">
      <w:pPr>
        <w:tabs>
          <w:tab w:val="left" w:pos="16620"/>
        </w:tabs>
        <w:rPr>
          <w:b/>
        </w:rPr>
      </w:pPr>
    </w:p>
    <w:p w:rsidR="001B4E2A" w:rsidP="001B4E2A" w:rsidRDefault="001B4E2A">
      <w:pPr>
        <w:tabs>
          <w:tab w:val="left" w:pos="16620"/>
        </w:tabs>
        <w:rPr>
          <w:b/>
        </w:rPr>
      </w:pPr>
    </w:p>
    <w:p w:rsidR="001B4E2A" w:rsidP="001B4E2A" w:rsidRDefault="001B4E2A">
      <w:pPr>
        <w:tabs>
          <w:tab w:val="left" w:pos="16620"/>
        </w:tabs>
        <w:rPr>
          <w:b/>
        </w:rPr>
      </w:pPr>
    </w:p>
    <w:p w:rsidR="001B4E2A" w:rsidP="001B4E2A" w:rsidRDefault="001B4E2A">
      <w:pPr>
        <w:tabs>
          <w:tab w:val="left" w:pos="16620"/>
        </w:tabs>
        <w:rPr>
          <w:b/>
        </w:rPr>
      </w:pPr>
    </w:p>
    <w:p w:rsidR="001B4E2A" w:rsidP="001B4E2A" w:rsidRDefault="001B4E2A">
      <w:pPr>
        <w:tabs>
          <w:tab w:val="left" w:pos="16620"/>
        </w:tabs>
        <w:rPr>
          <w:b/>
        </w:rPr>
      </w:pPr>
    </w:p>
    <w:p w:rsidR="001B4E2A" w:rsidP="001B4E2A" w:rsidRDefault="001B4E2A">
      <w:pPr>
        <w:tabs>
          <w:tab w:val="left" w:pos="16620"/>
        </w:tabs>
        <w:rPr>
          <w:b/>
        </w:rPr>
      </w:pPr>
    </w:p>
    <w:p w:rsidR="001B4E2A" w:rsidP="001B4E2A" w:rsidRDefault="001B4E2A">
      <w:pPr>
        <w:tabs>
          <w:tab w:val="left" w:pos="16620"/>
        </w:tabs>
        <w:rPr>
          <w:b/>
        </w:rPr>
      </w:pPr>
    </w:p>
    <w:p w:rsidR="001B4E2A" w:rsidP="001B4E2A" w:rsidRDefault="001B4E2A">
      <w:pPr>
        <w:tabs>
          <w:tab w:val="left" w:pos="16620"/>
        </w:tabs>
        <w:rPr>
          <w:b/>
        </w:rPr>
      </w:pPr>
    </w:p>
    <w:p w:rsidR="001B4E2A" w:rsidP="001B4E2A" w:rsidRDefault="001B4E2A">
      <w:pPr>
        <w:tabs>
          <w:tab w:val="left" w:pos="16620"/>
        </w:tabs>
        <w:rPr>
          <w:b/>
        </w:rPr>
      </w:pPr>
    </w:p>
    <w:p w:rsidR="001B4E2A" w:rsidP="001B4E2A" w:rsidRDefault="001B4E2A">
      <w:pPr>
        <w:tabs>
          <w:tab w:val="left" w:pos="16620"/>
        </w:tabs>
        <w:rPr>
          <w:b/>
        </w:rPr>
      </w:pPr>
    </w:p>
    <w:p w:rsidR="001B4E2A" w:rsidP="001B4E2A" w:rsidRDefault="001B4E2A">
      <w:pPr>
        <w:tabs>
          <w:tab w:val="left" w:pos="16620"/>
        </w:tabs>
        <w:rPr>
          <w:b/>
        </w:rPr>
      </w:pPr>
    </w:p>
    <w:p w:rsidR="001B4E2A" w:rsidP="001B4E2A" w:rsidRDefault="001B4E2A">
      <w:pPr>
        <w:tabs>
          <w:tab w:val="left" w:pos="16620"/>
        </w:tabs>
        <w:rPr>
          <w:b/>
        </w:rPr>
      </w:pPr>
    </w:p>
    <w:p w:rsidR="001B4E2A" w:rsidP="001B4E2A" w:rsidRDefault="001B4E2A">
      <w:pPr>
        <w:tabs>
          <w:tab w:val="left" w:pos="16620"/>
        </w:tabs>
        <w:rPr>
          <w:b/>
        </w:rPr>
      </w:pPr>
    </w:p>
    <w:p w:rsidR="001B4E2A" w:rsidP="001B4E2A" w:rsidRDefault="00C834E7">
      <w:pPr>
        <w:tabs>
          <w:tab w:val="left" w:pos="16620"/>
        </w:tabs>
        <w:rPr>
          <w:b/>
        </w:rPr>
      </w:pPr>
      <w:r>
        <w:rPr>
          <w:b/>
        </w:rPr>
        <w:t>We are currently carrying out this research and will share our findings during 2013.</w:t>
      </w:r>
    </w:p>
    <w:p w:rsidR="001B4E2A" w:rsidP="001B4E2A" w:rsidRDefault="001B4E2A">
      <w:pPr>
        <w:tabs>
          <w:tab w:val="left" w:pos="16620"/>
        </w:tabs>
      </w:pPr>
    </w:p>
    <w:p w:rsidR="009D244F" w:rsidRDefault="009D244F"/>
    <w:sectPr w:rsidR="009D244F" w:rsidSect="001B4E2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E2A" w:rsidRDefault="001B4E2A" w:rsidP="001B4E2A">
      <w:r>
        <w:separator/>
      </w:r>
    </w:p>
  </w:endnote>
  <w:endnote w:type="continuationSeparator" w:id="0">
    <w:p w:rsidR="001B4E2A" w:rsidRDefault="001B4E2A" w:rsidP="001B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E2A" w:rsidRDefault="001B4E2A" w:rsidP="001B4E2A">
      <w:r>
        <w:separator/>
      </w:r>
    </w:p>
  </w:footnote>
  <w:footnote w:type="continuationSeparator" w:id="0">
    <w:p w:rsidR="001B4E2A" w:rsidRDefault="001B4E2A" w:rsidP="001B4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E2A" w:rsidRDefault="001B4E2A">
    <w:pPr>
      <w:pStyle w:val="Header"/>
    </w:pPr>
    <w:r>
      <w:t xml:space="preserve">Research project for 2012/13 </w:t>
    </w:r>
  </w:p>
  <w:p w:rsidR="001B4E2A" w:rsidRDefault="001B4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023C3"/>
    <w:multiLevelType w:val="hybridMultilevel"/>
    <w:tmpl w:val="5952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774765"/>
    <w:multiLevelType w:val="hybridMultilevel"/>
    <w:tmpl w:val="6160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4BC19E2"/>
    <w:multiLevelType w:val="hybridMultilevel"/>
    <w:tmpl w:val="4A10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2A"/>
    <w:rsid w:val="001B4E2A"/>
    <w:rsid w:val="009D244F"/>
    <w:rsid w:val="00C83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2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E2A"/>
    <w:pPr>
      <w:ind w:left="720"/>
      <w:contextualSpacing/>
    </w:pPr>
  </w:style>
  <w:style w:type="paragraph" w:styleId="BalloonText">
    <w:name w:val="Balloon Text"/>
    <w:basedOn w:val="Normal"/>
    <w:link w:val="BalloonTextChar"/>
    <w:uiPriority w:val="99"/>
    <w:semiHidden/>
    <w:unhideWhenUsed/>
    <w:rsid w:val="001B4E2A"/>
    <w:rPr>
      <w:rFonts w:ascii="Tahoma" w:hAnsi="Tahoma" w:cs="Tahoma"/>
      <w:sz w:val="16"/>
      <w:szCs w:val="16"/>
    </w:rPr>
  </w:style>
  <w:style w:type="character" w:customStyle="1" w:styleId="BalloonTextChar">
    <w:name w:val="Balloon Text Char"/>
    <w:basedOn w:val="DefaultParagraphFont"/>
    <w:link w:val="BalloonText"/>
    <w:uiPriority w:val="99"/>
    <w:semiHidden/>
    <w:rsid w:val="001B4E2A"/>
    <w:rPr>
      <w:rFonts w:ascii="Tahoma" w:hAnsi="Tahoma" w:cs="Tahoma"/>
      <w:sz w:val="16"/>
      <w:szCs w:val="16"/>
    </w:rPr>
  </w:style>
  <w:style w:type="paragraph" w:styleId="Header">
    <w:name w:val="header"/>
    <w:basedOn w:val="Normal"/>
    <w:link w:val="HeaderChar"/>
    <w:uiPriority w:val="99"/>
    <w:unhideWhenUsed/>
    <w:rsid w:val="001B4E2A"/>
    <w:pPr>
      <w:tabs>
        <w:tab w:val="center" w:pos="4513"/>
        <w:tab w:val="right" w:pos="9026"/>
      </w:tabs>
    </w:pPr>
  </w:style>
  <w:style w:type="character" w:customStyle="1" w:styleId="HeaderChar">
    <w:name w:val="Header Char"/>
    <w:basedOn w:val="DefaultParagraphFont"/>
    <w:link w:val="Header"/>
    <w:uiPriority w:val="99"/>
    <w:rsid w:val="001B4E2A"/>
  </w:style>
  <w:style w:type="paragraph" w:styleId="Footer">
    <w:name w:val="footer"/>
    <w:basedOn w:val="Normal"/>
    <w:link w:val="FooterChar"/>
    <w:uiPriority w:val="99"/>
    <w:unhideWhenUsed/>
    <w:rsid w:val="001B4E2A"/>
    <w:pPr>
      <w:tabs>
        <w:tab w:val="center" w:pos="4513"/>
        <w:tab w:val="right" w:pos="9026"/>
      </w:tabs>
    </w:pPr>
  </w:style>
  <w:style w:type="character" w:customStyle="1" w:styleId="FooterChar">
    <w:name w:val="Footer Char"/>
    <w:basedOn w:val="DefaultParagraphFont"/>
    <w:link w:val="Footer"/>
    <w:uiPriority w:val="99"/>
    <w:rsid w:val="001B4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2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E2A"/>
    <w:pPr>
      <w:ind w:left="720"/>
      <w:contextualSpacing/>
    </w:pPr>
  </w:style>
  <w:style w:type="paragraph" w:styleId="BalloonText">
    <w:name w:val="Balloon Text"/>
    <w:basedOn w:val="Normal"/>
    <w:link w:val="BalloonTextChar"/>
    <w:uiPriority w:val="99"/>
    <w:semiHidden/>
    <w:unhideWhenUsed/>
    <w:rsid w:val="001B4E2A"/>
    <w:rPr>
      <w:rFonts w:ascii="Tahoma" w:hAnsi="Tahoma" w:cs="Tahoma"/>
      <w:sz w:val="16"/>
      <w:szCs w:val="16"/>
    </w:rPr>
  </w:style>
  <w:style w:type="character" w:customStyle="1" w:styleId="BalloonTextChar">
    <w:name w:val="Balloon Text Char"/>
    <w:basedOn w:val="DefaultParagraphFont"/>
    <w:link w:val="BalloonText"/>
    <w:uiPriority w:val="99"/>
    <w:semiHidden/>
    <w:rsid w:val="001B4E2A"/>
    <w:rPr>
      <w:rFonts w:ascii="Tahoma" w:hAnsi="Tahoma" w:cs="Tahoma"/>
      <w:sz w:val="16"/>
      <w:szCs w:val="16"/>
    </w:rPr>
  </w:style>
  <w:style w:type="paragraph" w:styleId="Header">
    <w:name w:val="header"/>
    <w:basedOn w:val="Normal"/>
    <w:link w:val="HeaderChar"/>
    <w:uiPriority w:val="99"/>
    <w:unhideWhenUsed/>
    <w:rsid w:val="001B4E2A"/>
    <w:pPr>
      <w:tabs>
        <w:tab w:val="center" w:pos="4513"/>
        <w:tab w:val="right" w:pos="9026"/>
      </w:tabs>
    </w:pPr>
  </w:style>
  <w:style w:type="character" w:customStyle="1" w:styleId="HeaderChar">
    <w:name w:val="Header Char"/>
    <w:basedOn w:val="DefaultParagraphFont"/>
    <w:link w:val="Header"/>
    <w:uiPriority w:val="99"/>
    <w:rsid w:val="001B4E2A"/>
  </w:style>
  <w:style w:type="paragraph" w:styleId="Footer">
    <w:name w:val="footer"/>
    <w:basedOn w:val="Normal"/>
    <w:link w:val="FooterChar"/>
    <w:uiPriority w:val="99"/>
    <w:unhideWhenUsed/>
    <w:rsid w:val="001B4E2A"/>
    <w:pPr>
      <w:tabs>
        <w:tab w:val="center" w:pos="4513"/>
        <w:tab w:val="right" w:pos="9026"/>
      </w:tabs>
    </w:pPr>
  </w:style>
  <w:style w:type="character" w:customStyle="1" w:styleId="FooterChar">
    <w:name w:val="Footer Char"/>
    <w:basedOn w:val="DefaultParagraphFont"/>
    <w:link w:val="Footer"/>
    <w:uiPriority w:val="99"/>
    <w:rsid w:val="001B4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Hertsmere Borough Council</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Best</dc:creator>
  <cp:lastModifiedBy>Deleted User</cp:lastModifiedBy>
  <cp:revision>1</cp:revision>
  <dcterms:created xsi:type="dcterms:W3CDTF">2012-12-05T14:11:00Z</dcterms:created>
  <dcterms:modified xsi:type="dcterms:W3CDTF">2012-12-06T10:03:12Z</dcterms:modified>
  <dc:title>Youth research 2012/13 - web intro</dc:title>
  <cp:keywords>
  </cp:keywords>
  <dc:subject>
  </dc:subject>
</cp:coreProperties>
</file>