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0072" w:rsidP="00EA17A2" w:rsidRDefault="00EE0072">
      <w:pPr>
        <w:jc w:val="center"/>
        <w:rPr>
          <w:noProof/>
          <w:lang w:eastAsia="en-GB"/>
        </w:rPr>
      </w:pPr>
      <w:bookmarkStart w:name="_GoBack" w:id="0"/>
      <w:bookmarkEnd w:id="0"/>
    </w:p>
    <w:p w:rsidR="00EE0072" w:rsidP="00EA17A2" w:rsidRDefault="00EE0072">
      <w:pPr>
        <w:jc w:val="center"/>
        <w:rPr>
          <w:noProof/>
          <w:lang w:eastAsia="en-GB"/>
        </w:rPr>
      </w:pPr>
    </w:p>
    <w:p w:rsidR="00F029B1" w:rsidP="00EA17A2" w:rsidRDefault="00F029B1">
      <w:pPr>
        <w:jc w:val="center"/>
        <w:rPr>
          <w:noProof/>
          <w:lang w:eastAsia="en-GB"/>
        </w:rPr>
      </w:pPr>
    </w:p>
    <w:p w:rsidR="00F029B1" w:rsidP="00EA17A2" w:rsidRDefault="00F029B1">
      <w:pPr>
        <w:jc w:val="center"/>
        <w:rPr>
          <w:noProof/>
          <w:lang w:eastAsia="en-GB"/>
        </w:rPr>
      </w:pPr>
    </w:p>
    <w:p w:rsidR="00D72C9C" w:rsidP="00605100" w:rsidRDefault="00CA77B1">
      <w:pPr>
        <w:ind w:left="993"/>
        <w:rPr>
          <w:highlight w:val="yellow"/>
        </w:rPr>
      </w:pPr>
      <w:r>
        <w:rPr>
          <w:noProof/>
          <w:lang w:eastAsia="en-GB"/>
        </w:rPr>
        <w:drawing>
          <wp:inline distT="0" distB="0" distL="0" distR="0" wp14:anchorId="43258A45" wp14:editId="4787D1EE">
            <wp:extent cx="4524350" cy="246596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4536139" cy="2472386"/>
                    </a:xfrm>
                    <a:prstGeom prst="rect">
                      <a:avLst/>
                    </a:prstGeom>
                  </pic:spPr>
                </pic:pic>
              </a:graphicData>
            </a:graphic>
          </wp:inline>
        </w:drawing>
      </w:r>
    </w:p>
    <w:p w:rsidR="00EA198B" w:rsidP="00D84F21" w:rsidRDefault="00EA198B">
      <w:pPr>
        <w:pStyle w:val="Heading1"/>
        <w:rPr>
          <w:rFonts w:ascii="Arial" w:hAnsi="Arial" w:cs="Arial"/>
          <w:noProof/>
          <w:lang w:eastAsia="en-GB"/>
        </w:rPr>
      </w:pPr>
    </w:p>
    <w:p w:rsidR="00430782" w:rsidP="00430782" w:rsidRDefault="00430782">
      <w:pPr>
        <w:rPr>
          <w:lang w:eastAsia="en-GB"/>
        </w:rPr>
      </w:pPr>
    </w:p>
    <w:p w:rsidR="00430782" w:rsidP="00430782" w:rsidRDefault="00430782">
      <w:pPr>
        <w:rPr>
          <w:lang w:eastAsia="en-GB"/>
        </w:rPr>
      </w:pPr>
    </w:p>
    <w:p w:rsidR="00430782" w:rsidP="00430782" w:rsidRDefault="00430782">
      <w:pPr>
        <w:rPr>
          <w:lang w:eastAsia="en-GB"/>
        </w:rPr>
      </w:pPr>
    </w:p>
    <w:p w:rsidR="00430782" w:rsidP="00430782" w:rsidRDefault="00430782">
      <w:pPr>
        <w:rPr>
          <w:lang w:eastAsia="en-GB"/>
        </w:rPr>
      </w:pPr>
    </w:p>
    <w:p w:rsidR="00430782" w:rsidP="00430782" w:rsidRDefault="00430782">
      <w:pPr>
        <w:rPr>
          <w:lang w:eastAsia="en-GB"/>
        </w:rPr>
      </w:pPr>
    </w:p>
    <w:p w:rsidR="00430782" w:rsidP="00430782" w:rsidRDefault="00430782">
      <w:pPr>
        <w:rPr>
          <w:lang w:eastAsia="en-GB"/>
        </w:rPr>
      </w:pPr>
    </w:p>
    <w:p w:rsidRPr="00430782" w:rsidR="00430782" w:rsidP="00430782" w:rsidRDefault="00430782">
      <w:pPr>
        <w:jc w:val="center"/>
        <w:rPr>
          <w:b/>
          <w:sz w:val="24"/>
          <w:szCs w:val="24"/>
          <w:lang w:eastAsia="en-GB"/>
        </w:rPr>
      </w:pPr>
      <w:r w:rsidRPr="00430782">
        <w:rPr>
          <w:b/>
          <w:sz w:val="24"/>
          <w:szCs w:val="24"/>
          <w:lang w:eastAsia="en-GB"/>
        </w:rPr>
        <w:t>PHOTO AWAITED</w:t>
      </w:r>
    </w:p>
    <w:p w:rsidR="00430782" w:rsidP="00430782" w:rsidRDefault="00430782">
      <w:pPr>
        <w:rPr>
          <w:lang w:eastAsia="en-GB"/>
        </w:rPr>
      </w:pPr>
    </w:p>
    <w:p w:rsidR="00430782" w:rsidP="00430782" w:rsidRDefault="00430782">
      <w:pPr>
        <w:rPr>
          <w:lang w:eastAsia="en-GB"/>
        </w:rPr>
      </w:pPr>
    </w:p>
    <w:p w:rsidR="00430782" w:rsidP="00430782" w:rsidRDefault="00430782">
      <w:pPr>
        <w:rPr>
          <w:lang w:eastAsia="en-GB"/>
        </w:rPr>
      </w:pPr>
    </w:p>
    <w:p w:rsidR="00430782" w:rsidP="00430782" w:rsidRDefault="00430782">
      <w:pPr>
        <w:rPr>
          <w:lang w:eastAsia="en-GB"/>
        </w:rPr>
      </w:pPr>
    </w:p>
    <w:p w:rsidRPr="00430782" w:rsidR="00430782" w:rsidP="00430782" w:rsidRDefault="00430782">
      <w:pPr>
        <w:rPr>
          <w:lang w:eastAsia="en-GB"/>
        </w:rPr>
      </w:pPr>
    </w:p>
    <w:p w:rsidRPr="00EA198B" w:rsidR="00D72C9C" w:rsidP="00EA198B" w:rsidRDefault="00D72C9C">
      <w:pPr>
        <w:pStyle w:val="Heading1"/>
        <w:rPr>
          <w:rFonts w:ascii="Arial" w:hAnsi="Arial" w:cs="Arial"/>
          <w:sz w:val="36"/>
        </w:rPr>
      </w:pPr>
      <w:r w:rsidRPr="00EA198B">
        <w:rPr>
          <w:rFonts w:ascii="Arial" w:hAnsi="Arial" w:cs="Arial"/>
          <w:sz w:val="36"/>
        </w:rPr>
        <w:t>TO LET</w:t>
      </w:r>
    </w:p>
    <w:p w:rsidRPr="00EA198B" w:rsidR="007B0497" w:rsidP="00EA17A2" w:rsidRDefault="00EA198B">
      <w:pPr>
        <w:jc w:val="center"/>
        <w:rPr>
          <w:rFonts w:ascii="Arial" w:hAnsi="Arial" w:cs="Arial"/>
          <w:b/>
          <w:sz w:val="36"/>
        </w:rPr>
      </w:pPr>
      <w:r>
        <w:rPr>
          <w:rFonts w:ascii="Arial" w:hAnsi="Arial" w:cs="Arial"/>
          <w:b/>
          <w:sz w:val="36"/>
        </w:rPr>
        <w:t>NEW LEASE</w:t>
      </w:r>
    </w:p>
    <w:p w:rsidR="00D72C9C" w:rsidP="00B254DC" w:rsidRDefault="00D72C9C">
      <w:pPr>
        <w:jc w:val="center"/>
        <w:rPr>
          <w:rFonts w:ascii="Arial" w:hAnsi="Arial" w:cs="Arial"/>
          <w:b/>
          <w:sz w:val="28"/>
        </w:rPr>
      </w:pPr>
      <w:r w:rsidRPr="00EA198B">
        <w:rPr>
          <w:rFonts w:ascii="Arial" w:hAnsi="Arial" w:cs="Arial"/>
          <w:b/>
          <w:sz w:val="32"/>
        </w:rPr>
        <w:t>ON</w:t>
      </w:r>
      <w:r w:rsidRPr="00EA198B" w:rsidR="00EA198B">
        <w:rPr>
          <w:rFonts w:ascii="Arial" w:hAnsi="Arial" w:cs="Arial"/>
          <w:b/>
          <w:sz w:val="32"/>
        </w:rPr>
        <w:t xml:space="preserve"> A</w:t>
      </w:r>
      <w:r w:rsidRPr="00EA198B">
        <w:rPr>
          <w:rFonts w:ascii="Arial" w:hAnsi="Arial" w:cs="Arial"/>
          <w:b/>
          <w:sz w:val="32"/>
        </w:rPr>
        <w:t xml:space="preserve"> NEIGHBOURHOOD SHOPPING PARADE</w:t>
      </w:r>
      <w:r w:rsidRPr="00EA198B" w:rsidR="003910B7">
        <w:rPr>
          <w:rFonts w:ascii="Arial" w:hAnsi="Arial" w:cs="Arial"/>
          <w:b/>
          <w:sz w:val="32"/>
        </w:rPr>
        <w:t xml:space="preserve"> </w:t>
      </w:r>
      <w:proofErr w:type="gramStart"/>
      <w:r w:rsidRPr="00EA198B" w:rsidR="003910B7">
        <w:rPr>
          <w:rFonts w:ascii="Arial" w:hAnsi="Arial" w:cs="Arial"/>
          <w:b/>
          <w:sz w:val="32"/>
        </w:rPr>
        <w:t>CONSISTING</w:t>
      </w:r>
      <w:proofErr w:type="gramEnd"/>
      <w:r w:rsidRPr="00EA198B" w:rsidR="003910B7">
        <w:rPr>
          <w:rFonts w:ascii="Arial" w:hAnsi="Arial" w:cs="Arial"/>
          <w:b/>
          <w:sz w:val="32"/>
        </w:rPr>
        <w:t xml:space="preserve"> OVER 35 SHOPS</w:t>
      </w:r>
      <w:r w:rsidRPr="00EA198B" w:rsidR="003910B7">
        <w:rPr>
          <w:rFonts w:ascii="Arial" w:hAnsi="Arial" w:cs="Arial"/>
          <w:b/>
          <w:sz w:val="28"/>
        </w:rPr>
        <w:t>.</w:t>
      </w:r>
    </w:p>
    <w:p w:rsidR="00A10C9F" w:rsidP="00B254DC" w:rsidRDefault="00A10C9F">
      <w:pPr>
        <w:jc w:val="center"/>
        <w:rPr>
          <w:rFonts w:ascii="Arial" w:hAnsi="Arial" w:cs="Arial"/>
          <w:b/>
          <w:sz w:val="28"/>
        </w:rPr>
      </w:pPr>
    </w:p>
    <w:p w:rsidR="00A10C9F" w:rsidP="00B254DC" w:rsidRDefault="00A10C9F">
      <w:pPr>
        <w:jc w:val="center"/>
        <w:rPr>
          <w:rFonts w:ascii="Arial" w:hAnsi="Arial" w:cs="Arial"/>
          <w:b/>
          <w:sz w:val="28"/>
        </w:rPr>
      </w:pPr>
    </w:p>
    <w:p w:rsidR="00943791" w:rsidP="00B254DC" w:rsidRDefault="00943791">
      <w:pPr>
        <w:jc w:val="center"/>
        <w:rPr>
          <w:rFonts w:ascii="Arial" w:hAnsi="Arial" w:cs="Arial"/>
          <w:b/>
          <w:sz w:val="28"/>
        </w:rPr>
      </w:pPr>
    </w:p>
    <w:p w:rsidR="00A10C9F" w:rsidP="00B254DC" w:rsidRDefault="00A10C9F">
      <w:pPr>
        <w:jc w:val="center"/>
        <w:rPr>
          <w:rFonts w:ascii="Arial" w:hAnsi="Arial" w:cs="Arial"/>
          <w:b/>
          <w:sz w:val="28"/>
        </w:rPr>
      </w:pPr>
    </w:p>
    <w:p w:rsidR="00A10C9F" w:rsidP="00B254DC" w:rsidRDefault="00A10C9F">
      <w:pPr>
        <w:jc w:val="center"/>
        <w:rPr>
          <w:rFonts w:ascii="Arial" w:hAnsi="Arial" w:cs="Arial"/>
          <w:b/>
          <w:sz w:val="28"/>
        </w:rPr>
      </w:pPr>
    </w:p>
    <w:p w:rsidR="00A10C9F" w:rsidP="00B254DC" w:rsidRDefault="00A10C9F">
      <w:pPr>
        <w:jc w:val="center"/>
        <w:rPr>
          <w:rFonts w:ascii="Arial" w:hAnsi="Arial" w:cs="Arial"/>
          <w:b/>
          <w:sz w:val="28"/>
        </w:rPr>
      </w:pPr>
    </w:p>
    <w:p w:rsidR="00430782" w:rsidP="00B254DC" w:rsidRDefault="00430782">
      <w:pPr>
        <w:jc w:val="center"/>
        <w:rPr>
          <w:rFonts w:ascii="Arial" w:hAnsi="Arial" w:cs="Arial"/>
          <w:b/>
          <w:sz w:val="28"/>
        </w:rPr>
      </w:pPr>
    </w:p>
    <w:p w:rsidR="00430782" w:rsidP="00B254DC" w:rsidRDefault="00430782">
      <w:pPr>
        <w:jc w:val="center"/>
        <w:rPr>
          <w:rFonts w:ascii="Arial" w:hAnsi="Arial" w:cs="Arial"/>
          <w:b/>
          <w:sz w:val="28"/>
        </w:rPr>
      </w:pPr>
    </w:p>
    <w:p w:rsidRPr="00EA198B" w:rsidR="00430782" w:rsidP="00B254DC" w:rsidRDefault="00430782">
      <w:pPr>
        <w:jc w:val="center"/>
        <w:rPr>
          <w:rFonts w:ascii="Arial" w:hAnsi="Arial" w:cs="Arial"/>
          <w:b/>
          <w:sz w:val="28"/>
        </w:rPr>
      </w:pPr>
    </w:p>
    <w:p w:rsidR="00D72C9C" w:rsidP="00EA17A2" w:rsidRDefault="00D72C9C">
      <w:pPr>
        <w:jc w:val="center"/>
        <w:rPr>
          <w:rFonts w:ascii="Arial" w:hAnsi="Arial" w:cs="Arial"/>
          <w:sz w:val="24"/>
        </w:rPr>
      </w:pPr>
    </w:p>
    <w:p w:rsidR="00A10C9F" w:rsidP="00A10C9F" w:rsidRDefault="00A10C9F">
      <w:pPr>
        <w:pStyle w:val="Heading2"/>
        <w:rPr>
          <w:rFonts w:ascii="Arial" w:hAnsi="Arial" w:cs="Arial"/>
          <w:sz w:val="20"/>
        </w:rPr>
      </w:pPr>
      <w:r>
        <w:rPr>
          <w:rFonts w:ascii="Arial" w:hAnsi="Arial" w:cs="Arial"/>
          <w:sz w:val="20"/>
        </w:rPr>
        <w:lastRenderedPageBreak/>
        <w:t>LOCATION</w:t>
      </w:r>
    </w:p>
    <w:p w:rsidR="0078720E" w:rsidP="00A10C9F" w:rsidRDefault="001111C7">
      <w:pPr>
        <w:pStyle w:val="Heading2"/>
        <w:rPr>
          <w:rFonts w:ascii="Arial" w:hAnsi="Arial" w:cs="Arial"/>
        </w:rPr>
      </w:pPr>
      <w:r>
        <w:rPr>
          <w:rFonts w:ascii="Arial" w:hAnsi="Arial" w:cs="Arial"/>
          <w:b w:val="0"/>
          <w:sz w:val="20"/>
        </w:rPr>
        <w:t xml:space="preserve">The premises are located on Leeming Road, which forms part of a </w:t>
      </w:r>
      <w:r w:rsidRPr="00073D89" w:rsidR="00A10C9F">
        <w:rPr>
          <w:rFonts w:ascii="Arial" w:hAnsi="Arial" w:cs="Arial"/>
          <w:b w:val="0"/>
          <w:sz w:val="20"/>
        </w:rPr>
        <w:t xml:space="preserve">double parade </w:t>
      </w:r>
      <w:r>
        <w:rPr>
          <w:rFonts w:ascii="Arial" w:hAnsi="Arial" w:cs="Arial"/>
          <w:b w:val="0"/>
          <w:sz w:val="20"/>
        </w:rPr>
        <w:t xml:space="preserve">of shops, together with those on the adjacent Aycliffe Road. In total, the parade comprises 40 </w:t>
      </w:r>
      <w:r w:rsidRPr="00073D89" w:rsidR="00A10C9F">
        <w:rPr>
          <w:rFonts w:ascii="Arial" w:hAnsi="Arial" w:cs="Arial"/>
          <w:b w:val="0"/>
          <w:sz w:val="20"/>
        </w:rPr>
        <w:t xml:space="preserve">shop units of various sizes. </w:t>
      </w:r>
      <w:r w:rsidRPr="00272FC7" w:rsidR="00A10C9F">
        <w:rPr>
          <w:rFonts w:ascii="Arial" w:hAnsi="Arial" w:cs="Arial"/>
          <w:b w:val="0"/>
          <w:sz w:val="20"/>
        </w:rPr>
        <w:t>The parade is located approximately one mile from Borehamwood town centre</w:t>
      </w:r>
      <w:r>
        <w:rPr>
          <w:rFonts w:ascii="Arial" w:hAnsi="Arial" w:cs="Arial"/>
          <w:b w:val="0"/>
          <w:sz w:val="20"/>
        </w:rPr>
        <w:t xml:space="preserve"> and is well served by public transport and is a </w:t>
      </w:r>
      <w:r w:rsidR="004320D3">
        <w:rPr>
          <w:rFonts w:ascii="Arial" w:hAnsi="Arial" w:cs="Arial"/>
          <w:b w:val="0"/>
          <w:sz w:val="20"/>
        </w:rPr>
        <w:t>well-used</w:t>
      </w:r>
      <w:r>
        <w:rPr>
          <w:rFonts w:ascii="Arial" w:hAnsi="Arial" w:cs="Arial"/>
          <w:b w:val="0"/>
          <w:sz w:val="20"/>
        </w:rPr>
        <w:t xml:space="preserve"> thorough fare and offers free on-street and off street parking.  Neighbouring r</w:t>
      </w:r>
      <w:r w:rsidR="00BC5A8C">
        <w:rPr>
          <w:rFonts w:ascii="Arial" w:hAnsi="Arial" w:cs="Arial"/>
          <w:b w:val="0"/>
          <w:sz w:val="20"/>
        </w:rPr>
        <w:t>etailers include,</w:t>
      </w:r>
      <w:r w:rsidR="00A10C9F">
        <w:rPr>
          <w:rFonts w:ascii="Arial" w:hAnsi="Arial" w:cs="Arial"/>
          <w:b w:val="0"/>
          <w:sz w:val="20"/>
        </w:rPr>
        <w:t xml:space="preserve"> The Co-op</w:t>
      </w:r>
      <w:r w:rsidR="00BC5A8C">
        <w:rPr>
          <w:rFonts w:ascii="Arial" w:hAnsi="Arial" w:cs="Arial"/>
          <w:b w:val="0"/>
          <w:sz w:val="20"/>
        </w:rPr>
        <w:t xml:space="preserve">, </w:t>
      </w:r>
      <w:r w:rsidRPr="00664A76" w:rsidR="00664A76">
        <w:rPr>
          <w:rFonts w:ascii="Arial" w:hAnsi="Arial" w:cs="Arial"/>
          <w:b w:val="0"/>
          <w:sz w:val="20"/>
        </w:rPr>
        <w:t>RS McColl</w:t>
      </w:r>
      <w:r w:rsidR="00664A76">
        <w:rPr>
          <w:rFonts w:ascii="Arial" w:hAnsi="Arial" w:cs="Arial"/>
          <w:b w:val="0"/>
          <w:sz w:val="20"/>
        </w:rPr>
        <w:t>s</w:t>
      </w:r>
      <w:r w:rsidR="00BC5A8C">
        <w:rPr>
          <w:rFonts w:ascii="Arial" w:hAnsi="Arial" w:cs="Arial"/>
          <w:b w:val="0"/>
          <w:sz w:val="20"/>
        </w:rPr>
        <w:t xml:space="preserve">, Labrokes, </w:t>
      </w:r>
      <w:r>
        <w:rPr>
          <w:rFonts w:ascii="Arial" w:hAnsi="Arial" w:cs="Arial"/>
          <w:b w:val="0"/>
          <w:sz w:val="20"/>
        </w:rPr>
        <w:t xml:space="preserve">along with independent occupiers such an </w:t>
      </w:r>
      <w:r w:rsidRPr="00073D89" w:rsidR="00A10C9F">
        <w:rPr>
          <w:rFonts w:ascii="Arial" w:hAnsi="Arial" w:cs="Arial"/>
          <w:b w:val="0"/>
          <w:sz w:val="20"/>
        </w:rPr>
        <w:t xml:space="preserve">off-licence, </w:t>
      </w:r>
      <w:r>
        <w:rPr>
          <w:rFonts w:ascii="Arial" w:hAnsi="Arial" w:cs="Arial"/>
          <w:b w:val="0"/>
          <w:sz w:val="20"/>
        </w:rPr>
        <w:t>hair and beauty salons</w:t>
      </w:r>
      <w:r w:rsidRPr="00073D89" w:rsidR="00A10C9F">
        <w:rPr>
          <w:rFonts w:ascii="Arial" w:hAnsi="Arial" w:cs="Arial"/>
          <w:b w:val="0"/>
          <w:sz w:val="20"/>
        </w:rPr>
        <w:t>, fashion</w:t>
      </w:r>
      <w:r w:rsidR="00664A76">
        <w:rPr>
          <w:rFonts w:ascii="Arial" w:hAnsi="Arial" w:cs="Arial"/>
          <w:b w:val="0"/>
          <w:sz w:val="20"/>
        </w:rPr>
        <w:t xml:space="preserve"> </w:t>
      </w:r>
      <w:r>
        <w:rPr>
          <w:rFonts w:ascii="Arial" w:hAnsi="Arial" w:cs="Arial"/>
          <w:b w:val="0"/>
          <w:sz w:val="20"/>
        </w:rPr>
        <w:t>boutiques</w:t>
      </w:r>
      <w:r w:rsidR="00A10C9F">
        <w:rPr>
          <w:rFonts w:ascii="Arial" w:hAnsi="Arial" w:cs="Arial"/>
          <w:b w:val="0"/>
          <w:sz w:val="20"/>
        </w:rPr>
        <w:t>,</w:t>
      </w:r>
      <w:r>
        <w:rPr>
          <w:rFonts w:ascii="Arial" w:hAnsi="Arial" w:cs="Arial"/>
          <w:b w:val="0"/>
          <w:sz w:val="20"/>
        </w:rPr>
        <w:t xml:space="preserve"> </w:t>
      </w:r>
      <w:r w:rsidRPr="00073D89" w:rsidR="00A10C9F">
        <w:rPr>
          <w:rFonts w:ascii="Arial" w:hAnsi="Arial" w:cs="Arial"/>
          <w:b w:val="0"/>
          <w:sz w:val="20"/>
        </w:rPr>
        <w:t>butcher</w:t>
      </w:r>
      <w:r w:rsidR="00664A76">
        <w:rPr>
          <w:rFonts w:ascii="Arial" w:hAnsi="Arial" w:cs="Arial"/>
          <w:b w:val="0"/>
          <w:sz w:val="20"/>
        </w:rPr>
        <w:t>s</w:t>
      </w:r>
      <w:r>
        <w:rPr>
          <w:rFonts w:ascii="Arial" w:hAnsi="Arial" w:cs="Arial"/>
          <w:b w:val="0"/>
          <w:sz w:val="20"/>
        </w:rPr>
        <w:t xml:space="preserve">, Post Office, </w:t>
      </w:r>
      <w:r w:rsidRPr="00073D89" w:rsidR="00A10C9F">
        <w:rPr>
          <w:rFonts w:ascii="Arial" w:hAnsi="Arial" w:cs="Arial"/>
          <w:b w:val="0"/>
          <w:sz w:val="20"/>
        </w:rPr>
        <w:t>baker</w:t>
      </w:r>
      <w:r>
        <w:rPr>
          <w:rFonts w:ascii="Arial" w:hAnsi="Arial" w:cs="Arial"/>
          <w:b w:val="0"/>
          <w:sz w:val="20"/>
        </w:rPr>
        <w:t>y</w:t>
      </w:r>
      <w:r w:rsidRPr="00073D89" w:rsidR="00A10C9F">
        <w:rPr>
          <w:rFonts w:ascii="Arial" w:hAnsi="Arial" w:cs="Arial"/>
          <w:b w:val="0"/>
          <w:sz w:val="20"/>
        </w:rPr>
        <w:t xml:space="preserve">, </w:t>
      </w:r>
      <w:r>
        <w:rPr>
          <w:rFonts w:ascii="Arial" w:hAnsi="Arial" w:cs="Arial"/>
          <w:b w:val="0"/>
          <w:sz w:val="20"/>
        </w:rPr>
        <w:t>laundrette and dry-cleaner, a carpet retailer</w:t>
      </w:r>
      <w:r w:rsidR="00A10C9F">
        <w:rPr>
          <w:rFonts w:ascii="Arial" w:hAnsi="Arial" w:cs="Arial"/>
          <w:b w:val="0"/>
          <w:sz w:val="20"/>
        </w:rPr>
        <w:t>,</w:t>
      </w:r>
      <w:r w:rsidRPr="00073D89" w:rsidR="00A10C9F">
        <w:rPr>
          <w:rFonts w:ascii="Arial" w:hAnsi="Arial" w:cs="Arial"/>
          <w:b w:val="0"/>
          <w:sz w:val="20"/>
        </w:rPr>
        <w:t xml:space="preserve"> </w:t>
      </w:r>
      <w:r>
        <w:rPr>
          <w:rFonts w:ascii="Arial" w:hAnsi="Arial" w:cs="Arial"/>
          <w:b w:val="0"/>
          <w:sz w:val="20"/>
        </w:rPr>
        <w:t>bathroom and heating supplier, stationery</w:t>
      </w:r>
      <w:r w:rsidR="0083255F">
        <w:rPr>
          <w:rFonts w:ascii="Arial" w:hAnsi="Arial" w:cs="Arial"/>
          <w:b w:val="0"/>
          <w:sz w:val="20"/>
        </w:rPr>
        <w:t xml:space="preserve">, </w:t>
      </w:r>
      <w:r>
        <w:rPr>
          <w:rFonts w:ascii="Arial" w:hAnsi="Arial" w:cs="Arial"/>
          <w:b w:val="0"/>
          <w:sz w:val="20"/>
        </w:rPr>
        <w:t>electrical supplier</w:t>
      </w:r>
      <w:r w:rsidR="00A10C9F">
        <w:rPr>
          <w:rFonts w:ascii="Arial" w:hAnsi="Arial" w:cs="Arial"/>
          <w:b w:val="0"/>
          <w:sz w:val="20"/>
        </w:rPr>
        <w:t xml:space="preserve"> retailer</w:t>
      </w:r>
      <w:r w:rsidR="00E734B7">
        <w:rPr>
          <w:rFonts w:ascii="Arial" w:hAnsi="Arial" w:cs="Arial"/>
          <w:b w:val="0"/>
          <w:sz w:val="20"/>
        </w:rPr>
        <w:t>.</w:t>
      </w:r>
      <w:r w:rsidRPr="00A10C9F" w:rsidR="00A10C9F">
        <w:t xml:space="preserve"> </w:t>
      </w:r>
      <w:r w:rsidRPr="00A10C9F" w:rsidR="00A10C9F">
        <w:rPr>
          <w:rFonts w:ascii="Arial" w:hAnsi="Arial" w:cs="Arial"/>
          <w:b w:val="0"/>
          <w:sz w:val="20"/>
        </w:rPr>
        <w:t>In addition</w:t>
      </w:r>
      <w:r w:rsidR="00670D77">
        <w:rPr>
          <w:rFonts w:ascii="Arial" w:hAnsi="Arial" w:cs="Arial"/>
          <w:b w:val="0"/>
          <w:sz w:val="20"/>
        </w:rPr>
        <w:t>,</w:t>
      </w:r>
      <w:r>
        <w:rPr>
          <w:rFonts w:ascii="Arial" w:hAnsi="Arial" w:cs="Arial"/>
          <w:b w:val="0"/>
          <w:sz w:val="20"/>
        </w:rPr>
        <w:t xml:space="preserve"> there is a dental</w:t>
      </w:r>
      <w:r w:rsidRPr="00A10C9F" w:rsidR="00A10C9F">
        <w:rPr>
          <w:rFonts w:ascii="Arial" w:hAnsi="Arial" w:cs="Arial"/>
          <w:b w:val="0"/>
          <w:sz w:val="20"/>
        </w:rPr>
        <w:t xml:space="preserve"> practice, </w:t>
      </w:r>
      <w:r>
        <w:rPr>
          <w:rFonts w:ascii="Arial" w:hAnsi="Arial" w:cs="Arial"/>
          <w:b w:val="0"/>
          <w:sz w:val="20"/>
        </w:rPr>
        <w:t>pharmacy, along with a number of cafes, restaurants and take-away businesses</w:t>
      </w:r>
      <w:r w:rsidRPr="00A10C9F" w:rsidR="00A10C9F">
        <w:rPr>
          <w:rFonts w:ascii="Arial" w:hAnsi="Arial" w:cs="Arial"/>
          <w:b w:val="0"/>
          <w:sz w:val="20"/>
        </w:rPr>
        <w:t>.</w:t>
      </w:r>
    </w:p>
    <w:p w:rsidR="00943791" w:rsidP="00073D89" w:rsidRDefault="00943791">
      <w:pPr>
        <w:pStyle w:val="Heading2"/>
        <w:rPr>
          <w:rFonts w:ascii="Arial" w:hAnsi="Arial" w:cs="Arial"/>
          <w:sz w:val="20"/>
        </w:rPr>
      </w:pPr>
    </w:p>
    <w:p w:rsidR="00D72C9C" w:rsidP="00073D89" w:rsidRDefault="00D72C9C">
      <w:pPr>
        <w:pStyle w:val="Heading2"/>
        <w:rPr>
          <w:rFonts w:ascii="Arial" w:hAnsi="Arial" w:cs="Arial"/>
          <w:sz w:val="20"/>
        </w:rPr>
      </w:pPr>
      <w:r>
        <w:rPr>
          <w:rFonts w:ascii="Arial" w:hAnsi="Arial" w:cs="Arial"/>
          <w:sz w:val="20"/>
        </w:rPr>
        <w:t>DESCRIPTION</w:t>
      </w:r>
    </w:p>
    <w:p w:rsidR="00D72C9C" w:rsidRDefault="00774545">
      <w:pPr>
        <w:jc w:val="both"/>
        <w:rPr>
          <w:rFonts w:ascii="Arial" w:hAnsi="Arial" w:cs="Arial"/>
        </w:rPr>
      </w:pPr>
      <w:r>
        <w:rPr>
          <w:rFonts w:ascii="Arial" w:hAnsi="Arial" w:cs="Arial"/>
        </w:rPr>
        <w:t>The premises comprise a mid</w:t>
      </w:r>
      <w:r w:rsidR="00D72C9C">
        <w:rPr>
          <w:rFonts w:ascii="Arial" w:hAnsi="Arial" w:cs="Arial"/>
        </w:rPr>
        <w:t xml:space="preserve">-terrace ground floor lock-up shop with a </w:t>
      </w:r>
      <w:r w:rsidRPr="0078720E" w:rsidR="00D72C9C">
        <w:rPr>
          <w:rFonts w:ascii="Arial" w:hAnsi="Arial" w:cs="Arial"/>
        </w:rPr>
        <w:t xml:space="preserve">WC and washroom. Delivery access is </w:t>
      </w:r>
      <w:r w:rsidR="004E3CC5">
        <w:rPr>
          <w:rFonts w:ascii="Arial" w:hAnsi="Arial" w:cs="Arial"/>
        </w:rPr>
        <w:t xml:space="preserve">via </w:t>
      </w:r>
      <w:r w:rsidRPr="0078720E" w:rsidR="00D72C9C">
        <w:rPr>
          <w:rFonts w:ascii="Arial" w:hAnsi="Arial" w:cs="Arial"/>
        </w:rPr>
        <w:t>the rear of the property</w:t>
      </w:r>
      <w:r w:rsidR="00EA17A2">
        <w:rPr>
          <w:rFonts w:ascii="Arial" w:hAnsi="Arial" w:cs="Arial"/>
        </w:rPr>
        <w:t xml:space="preserve"> though a shared </w:t>
      </w:r>
      <w:r w:rsidR="00D227D3">
        <w:rPr>
          <w:rFonts w:ascii="Arial" w:hAnsi="Arial" w:cs="Arial"/>
        </w:rPr>
        <w:t xml:space="preserve">communal service yard and occupier </w:t>
      </w:r>
      <w:r w:rsidRPr="0078720E" w:rsidR="00D72C9C">
        <w:rPr>
          <w:rFonts w:ascii="Arial" w:hAnsi="Arial" w:cs="Arial"/>
        </w:rPr>
        <w:t>parking area.</w:t>
      </w:r>
    </w:p>
    <w:tbl>
      <w:tblPr>
        <w:tblW w:w="0" w:type="auto"/>
        <w:tblInd w:w="10" w:type="dxa"/>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left w:w="0" w:type="dxa"/>
          <w:right w:w="0" w:type="dxa"/>
        </w:tblCellMar>
        <w:tblLook w:val="01E0" w:firstRow="1" w:lastRow="1" w:firstColumn="1" w:lastColumn="1" w:noHBand="0" w:noVBand="0"/>
      </w:tblPr>
      <w:tblGrid>
        <w:gridCol w:w="3299"/>
        <w:gridCol w:w="1498"/>
        <w:gridCol w:w="1015"/>
      </w:tblGrid>
      <w:tr w:rsidR="00EA198B" w:rsidTr="00F70E32">
        <w:trPr>
          <w:trHeight w:val="387" w:hRule="exact"/>
        </w:trPr>
        <w:tc>
          <w:tcPr>
            <w:tcW w:w="5812" w:type="dxa"/>
            <w:gridSpan w:val="3"/>
            <w:tcBorders>
              <w:bottom w:val="single" w:color="FFFFFF" w:sz="24" w:space="0"/>
            </w:tcBorders>
            <w:shd w:val="clear" w:color="auto" w:fill="003767"/>
          </w:tcPr>
          <w:p w:rsidR="00943791" w:rsidP="00A92F53" w:rsidRDefault="00943791">
            <w:pPr>
              <w:pStyle w:val="TableParagraph"/>
              <w:ind w:left="136"/>
              <w:rPr>
                <w:rFonts w:ascii="Arial Black"/>
                <w:b/>
                <w:color w:val="FFFFFF"/>
                <w:w w:val="95"/>
                <w:sz w:val="20"/>
              </w:rPr>
            </w:pPr>
          </w:p>
          <w:p w:rsidRPr="00215375" w:rsidR="00EA198B" w:rsidP="00A92F53" w:rsidRDefault="00EA198B">
            <w:pPr>
              <w:pStyle w:val="TableParagraph"/>
              <w:ind w:left="136"/>
              <w:rPr>
                <w:rFonts w:ascii="Arial Black"/>
                <w:b/>
                <w:color w:val="00B0F0"/>
                <w:sz w:val="20"/>
              </w:rPr>
            </w:pPr>
            <w:r>
              <w:rPr>
                <w:rFonts w:ascii="Arial Black"/>
                <w:b/>
                <w:color w:val="FFFFFF"/>
                <w:w w:val="95"/>
                <w:sz w:val="20"/>
              </w:rPr>
              <w:t>ACCOMMODATION</w:t>
            </w:r>
          </w:p>
        </w:tc>
      </w:tr>
      <w:tr w:rsidR="00F35338" w:rsidTr="00F70E32">
        <w:trPr>
          <w:trHeight w:val="387" w:hRule="exact"/>
        </w:trPr>
        <w:tc>
          <w:tcPr>
            <w:tcW w:w="3299" w:type="dxa"/>
            <w:tcBorders>
              <w:top w:val="single" w:color="FFFFFF" w:sz="24" w:space="0"/>
            </w:tcBorders>
            <w:shd w:val="clear" w:color="auto" w:fill="CACED2"/>
          </w:tcPr>
          <w:p w:rsidR="00F35338" w:rsidP="00BD076C" w:rsidRDefault="00F35338">
            <w:pPr>
              <w:pStyle w:val="TableParagraph"/>
              <w:spacing w:before="7"/>
              <w:ind w:left="136"/>
              <w:rPr>
                <w:rFonts w:ascii="Arial Black" w:hAnsi="Arial Black"/>
                <w:b/>
                <w:w w:val="90"/>
                <w:sz w:val="20"/>
              </w:rPr>
            </w:pPr>
            <w:r>
              <w:rPr>
                <w:rFonts w:ascii="Arial Black" w:hAnsi="Arial Black"/>
                <w:b/>
                <w:w w:val="90"/>
                <w:sz w:val="20"/>
              </w:rPr>
              <w:t>Shop Frontage</w:t>
            </w:r>
          </w:p>
        </w:tc>
        <w:tc>
          <w:tcPr>
            <w:tcW w:w="1498" w:type="dxa"/>
            <w:tcBorders>
              <w:top w:val="single" w:color="FFFFFF" w:sz="24" w:space="0"/>
            </w:tcBorders>
            <w:shd w:val="clear" w:color="auto" w:fill="CACED2"/>
          </w:tcPr>
          <w:p w:rsidRPr="00F14B9A" w:rsidR="00F35338" w:rsidP="00221D3E" w:rsidRDefault="00221D3E">
            <w:pPr>
              <w:pStyle w:val="TableParagraph"/>
              <w:rPr>
                <w:b/>
              </w:rPr>
            </w:pPr>
            <w:r>
              <w:rPr>
                <w:b/>
              </w:rPr>
              <w:t>6</w:t>
            </w:r>
            <w:r w:rsidR="00CA77B1">
              <w:rPr>
                <w:b/>
              </w:rPr>
              <w:t>.</w:t>
            </w:r>
            <w:r>
              <w:rPr>
                <w:b/>
              </w:rPr>
              <w:t>1</w:t>
            </w:r>
            <w:r w:rsidR="00CA77B1">
              <w:rPr>
                <w:b/>
              </w:rPr>
              <w:t>0</w:t>
            </w:r>
            <w:r w:rsidRPr="00F14B9A" w:rsidR="00F35338">
              <w:rPr>
                <w:b/>
              </w:rPr>
              <w:t>m</w:t>
            </w:r>
          </w:p>
        </w:tc>
        <w:tc>
          <w:tcPr>
            <w:tcW w:w="1015" w:type="dxa"/>
            <w:tcBorders>
              <w:top w:val="single" w:color="FFFFFF" w:sz="24" w:space="0"/>
            </w:tcBorders>
            <w:shd w:val="clear" w:color="auto" w:fill="CACED2"/>
          </w:tcPr>
          <w:p w:rsidRPr="00F35338" w:rsidR="00F35338" w:rsidP="00F35338" w:rsidRDefault="00221D3E">
            <w:pPr>
              <w:pStyle w:val="TableParagraph"/>
              <w:rPr>
                <w:rFonts w:ascii="Arial Black"/>
                <w:b/>
                <w:w w:val="90"/>
                <w:sz w:val="20"/>
              </w:rPr>
            </w:pPr>
            <w:r>
              <w:rPr>
                <w:b/>
              </w:rPr>
              <w:t xml:space="preserve">20’ </w:t>
            </w:r>
            <w:proofErr w:type="spellStart"/>
            <w:r w:rsidR="00F14B9A">
              <w:rPr>
                <w:b/>
              </w:rPr>
              <w:t>ft</w:t>
            </w:r>
            <w:proofErr w:type="spellEnd"/>
          </w:p>
        </w:tc>
      </w:tr>
      <w:tr w:rsidR="00F35338" w:rsidTr="00F70E32">
        <w:trPr>
          <w:trHeight w:val="387" w:hRule="exact"/>
        </w:trPr>
        <w:tc>
          <w:tcPr>
            <w:tcW w:w="3299" w:type="dxa"/>
            <w:tcBorders>
              <w:top w:val="single" w:color="FFFFFF" w:sz="24" w:space="0"/>
            </w:tcBorders>
            <w:shd w:val="clear" w:color="auto" w:fill="CACED2"/>
          </w:tcPr>
          <w:p w:rsidR="00F35338" w:rsidP="00BD076C" w:rsidRDefault="00F35338">
            <w:pPr>
              <w:pStyle w:val="TableParagraph"/>
              <w:spacing w:before="7"/>
              <w:ind w:left="136"/>
              <w:rPr>
                <w:rFonts w:ascii="Arial Black" w:hAnsi="Arial Black"/>
                <w:b/>
                <w:w w:val="90"/>
                <w:sz w:val="20"/>
              </w:rPr>
            </w:pPr>
            <w:r>
              <w:rPr>
                <w:rFonts w:ascii="Arial Black" w:hAnsi="Arial Black"/>
                <w:b/>
                <w:w w:val="90"/>
                <w:sz w:val="20"/>
              </w:rPr>
              <w:t>Shop Depth</w:t>
            </w:r>
          </w:p>
        </w:tc>
        <w:tc>
          <w:tcPr>
            <w:tcW w:w="1498" w:type="dxa"/>
            <w:tcBorders>
              <w:top w:val="single" w:color="FFFFFF" w:sz="24" w:space="0"/>
            </w:tcBorders>
            <w:shd w:val="clear" w:color="auto" w:fill="CACED2"/>
          </w:tcPr>
          <w:p w:rsidRPr="00F14B9A" w:rsidR="00F35338" w:rsidP="00F14B9A" w:rsidRDefault="00CA77B1">
            <w:pPr>
              <w:pStyle w:val="TableParagraph"/>
              <w:rPr>
                <w:b/>
              </w:rPr>
            </w:pPr>
            <w:r>
              <w:rPr>
                <w:b/>
              </w:rPr>
              <w:t>12.40</w:t>
            </w:r>
            <w:r w:rsidRPr="00F14B9A" w:rsidR="00F35338">
              <w:rPr>
                <w:b/>
              </w:rPr>
              <w:t>m</w:t>
            </w:r>
          </w:p>
        </w:tc>
        <w:tc>
          <w:tcPr>
            <w:tcW w:w="1015" w:type="dxa"/>
            <w:tcBorders>
              <w:top w:val="single" w:color="FFFFFF" w:sz="24" w:space="0"/>
            </w:tcBorders>
            <w:shd w:val="clear" w:color="auto" w:fill="CACED2"/>
          </w:tcPr>
          <w:p w:rsidRPr="00F35338" w:rsidR="00F35338" w:rsidP="00D0368B" w:rsidRDefault="00D0368B">
            <w:pPr>
              <w:pStyle w:val="TableParagraph"/>
              <w:rPr>
                <w:rFonts w:ascii="Arial Black"/>
                <w:b/>
                <w:w w:val="90"/>
                <w:sz w:val="20"/>
              </w:rPr>
            </w:pPr>
            <w:r>
              <w:rPr>
                <w:b/>
              </w:rPr>
              <w:t>41</w:t>
            </w:r>
            <w:r w:rsidRPr="00F35338" w:rsidR="00F35338">
              <w:rPr>
                <w:b/>
              </w:rPr>
              <w:t>’</w:t>
            </w:r>
            <w:r>
              <w:rPr>
                <w:b/>
              </w:rPr>
              <w:t xml:space="preserve"> </w:t>
            </w:r>
            <w:proofErr w:type="spellStart"/>
            <w:r w:rsidR="00F14B9A">
              <w:rPr>
                <w:b/>
              </w:rPr>
              <w:t>ft</w:t>
            </w:r>
            <w:proofErr w:type="spellEnd"/>
          </w:p>
        </w:tc>
      </w:tr>
      <w:tr w:rsidR="00EA198B" w:rsidTr="00F70E32">
        <w:trPr>
          <w:trHeight w:val="387" w:hRule="exact"/>
        </w:trPr>
        <w:tc>
          <w:tcPr>
            <w:tcW w:w="3299" w:type="dxa"/>
            <w:tcBorders>
              <w:top w:val="single" w:color="FFFFFF" w:sz="24" w:space="0"/>
            </w:tcBorders>
            <w:shd w:val="clear" w:color="auto" w:fill="CACED2"/>
          </w:tcPr>
          <w:p w:rsidR="00EA198B" w:rsidP="00BD076C" w:rsidRDefault="00EA198B">
            <w:pPr>
              <w:pStyle w:val="TableParagraph"/>
              <w:spacing w:before="7"/>
              <w:ind w:left="136"/>
              <w:rPr>
                <w:rFonts w:ascii="Arial Black" w:hAnsi="Arial Black"/>
                <w:b/>
                <w:sz w:val="20"/>
              </w:rPr>
            </w:pPr>
            <w:r>
              <w:rPr>
                <w:rFonts w:ascii="Arial Black" w:hAnsi="Arial Black"/>
                <w:b/>
                <w:w w:val="90"/>
                <w:sz w:val="20"/>
              </w:rPr>
              <w:t>Retail area</w:t>
            </w:r>
          </w:p>
        </w:tc>
        <w:tc>
          <w:tcPr>
            <w:tcW w:w="1498" w:type="dxa"/>
            <w:tcBorders>
              <w:top w:val="single" w:color="FFFFFF" w:sz="24" w:space="0"/>
            </w:tcBorders>
            <w:shd w:val="clear" w:color="auto" w:fill="CACED2"/>
          </w:tcPr>
          <w:p w:rsidRPr="00AA15B9" w:rsidR="00EA198B" w:rsidP="00AA15B9" w:rsidRDefault="00221D3E">
            <w:pPr>
              <w:pStyle w:val="TableParagraph"/>
              <w:rPr>
                <w:rFonts w:ascii="Arial Black"/>
                <w:b/>
                <w:w w:val="90"/>
                <w:sz w:val="20"/>
              </w:rPr>
            </w:pPr>
            <w:r>
              <w:rPr>
                <w:rFonts w:ascii="Arial Black"/>
                <w:b/>
                <w:w w:val="90"/>
                <w:sz w:val="20"/>
              </w:rPr>
              <w:t>71.60</w:t>
            </w:r>
            <w:r w:rsidR="00EA198B">
              <w:rPr>
                <w:rFonts w:ascii="Arial Black"/>
                <w:b/>
                <w:w w:val="90"/>
                <w:sz w:val="20"/>
              </w:rPr>
              <w:t xml:space="preserve">     </w:t>
            </w:r>
            <w:r w:rsidR="005E6A55">
              <w:rPr>
                <w:rFonts w:ascii="Arial Black"/>
                <w:b/>
                <w:w w:val="90"/>
                <w:sz w:val="20"/>
              </w:rPr>
              <w:t xml:space="preserve">  </w:t>
            </w:r>
            <w:proofErr w:type="spellStart"/>
            <w:r w:rsidRPr="00AA15B9" w:rsidR="00EA198B">
              <w:rPr>
                <w:rFonts w:ascii="Arial Black"/>
                <w:b/>
                <w:w w:val="90"/>
                <w:sz w:val="20"/>
              </w:rPr>
              <w:t>sq</w:t>
            </w:r>
            <w:proofErr w:type="spellEnd"/>
            <w:r w:rsidR="00EA198B">
              <w:rPr>
                <w:rFonts w:ascii="Arial Black"/>
                <w:b/>
                <w:w w:val="90"/>
                <w:sz w:val="20"/>
              </w:rPr>
              <w:t xml:space="preserve"> </w:t>
            </w:r>
            <w:r w:rsidRPr="00AA15B9" w:rsidR="00EA198B">
              <w:rPr>
                <w:rFonts w:ascii="Arial Black"/>
                <w:b/>
                <w:w w:val="90"/>
                <w:sz w:val="20"/>
              </w:rPr>
              <w:t>m</w:t>
            </w:r>
          </w:p>
          <w:p w:rsidRPr="00AA15B9" w:rsidR="00EA198B" w:rsidP="00AA15B9" w:rsidRDefault="00EA198B">
            <w:pPr>
              <w:pStyle w:val="TableParagraph"/>
              <w:ind w:left="127"/>
              <w:rPr>
                <w:rFonts w:ascii="Arial Black"/>
                <w:b/>
                <w:w w:val="90"/>
                <w:sz w:val="20"/>
              </w:rPr>
            </w:pPr>
            <w:r w:rsidRPr="00AA15B9">
              <w:rPr>
                <w:rFonts w:ascii="Arial Black"/>
                <w:b/>
                <w:w w:val="90"/>
                <w:sz w:val="20"/>
              </w:rPr>
              <w:t xml:space="preserve"> </w:t>
            </w:r>
            <w:proofErr w:type="spellStart"/>
            <w:r w:rsidRPr="00AA15B9">
              <w:rPr>
                <w:rFonts w:ascii="Arial Black"/>
                <w:b/>
                <w:w w:val="90"/>
                <w:sz w:val="20"/>
              </w:rPr>
              <w:t>sq</w:t>
            </w:r>
            <w:proofErr w:type="spellEnd"/>
          </w:p>
        </w:tc>
        <w:tc>
          <w:tcPr>
            <w:tcW w:w="1015" w:type="dxa"/>
            <w:tcBorders>
              <w:top w:val="single" w:color="FFFFFF" w:sz="24" w:space="0"/>
            </w:tcBorders>
            <w:shd w:val="clear" w:color="auto" w:fill="CACED2"/>
          </w:tcPr>
          <w:p w:rsidRPr="00AA15B9" w:rsidR="00EA198B" w:rsidP="00605100" w:rsidRDefault="00221D3E">
            <w:pPr>
              <w:pStyle w:val="TableParagraph"/>
              <w:rPr>
                <w:rFonts w:ascii="Arial Black"/>
                <w:b/>
                <w:w w:val="90"/>
                <w:sz w:val="20"/>
              </w:rPr>
            </w:pPr>
            <w:r>
              <w:rPr>
                <w:rFonts w:ascii="Arial Black"/>
                <w:b/>
                <w:w w:val="90"/>
                <w:sz w:val="20"/>
              </w:rPr>
              <w:t>733</w:t>
            </w:r>
            <w:r w:rsidR="00605100">
              <w:rPr>
                <w:rFonts w:ascii="Arial Black"/>
                <w:b/>
                <w:w w:val="90"/>
                <w:sz w:val="20"/>
              </w:rPr>
              <w:t xml:space="preserve"> </w:t>
            </w:r>
            <w:proofErr w:type="spellStart"/>
            <w:r w:rsidR="00605100">
              <w:rPr>
                <w:rFonts w:ascii="Arial Black"/>
                <w:b/>
                <w:w w:val="90"/>
                <w:sz w:val="20"/>
              </w:rPr>
              <w:t>sq</w:t>
            </w:r>
            <w:proofErr w:type="spellEnd"/>
            <w:r w:rsidR="00605100">
              <w:rPr>
                <w:rFonts w:ascii="Arial Black"/>
                <w:b/>
                <w:w w:val="90"/>
                <w:sz w:val="20"/>
              </w:rPr>
              <w:t xml:space="preserve"> </w:t>
            </w:r>
            <w:proofErr w:type="spellStart"/>
            <w:r w:rsidRPr="00605100" w:rsidR="00605100">
              <w:rPr>
                <w:rFonts w:ascii="Arial Black"/>
                <w:b/>
                <w:w w:val="90"/>
                <w:sz w:val="20"/>
              </w:rPr>
              <w:t>ft</w:t>
            </w:r>
            <w:proofErr w:type="spellEnd"/>
          </w:p>
        </w:tc>
      </w:tr>
      <w:tr w:rsidR="00EA198B" w:rsidTr="00F70E32">
        <w:trPr>
          <w:trHeight w:val="354" w:hRule="exact"/>
        </w:trPr>
        <w:tc>
          <w:tcPr>
            <w:tcW w:w="3299" w:type="dxa"/>
            <w:shd w:val="clear" w:color="auto" w:fill="CACED2"/>
          </w:tcPr>
          <w:p w:rsidRPr="00E061B4" w:rsidR="00EA198B" w:rsidP="00BD076C" w:rsidRDefault="00EA198B">
            <w:pPr>
              <w:pStyle w:val="TableParagraph"/>
              <w:spacing w:before="7"/>
              <w:ind w:left="136"/>
              <w:rPr>
                <w:rFonts w:ascii="Arial Black" w:hAnsi="Arial Black"/>
                <w:w w:val="90"/>
                <w:sz w:val="20"/>
              </w:rPr>
            </w:pPr>
            <w:r w:rsidRPr="00E061B4">
              <w:rPr>
                <w:rFonts w:ascii="Arial Black" w:hAnsi="Arial Black"/>
                <w:w w:val="90"/>
                <w:sz w:val="20"/>
              </w:rPr>
              <w:t xml:space="preserve">Total (excluding </w:t>
            </w:r>
            <w:r>
              <w:rPr>
                <w:rFonts w:ascii="Arial Black" w:hAnsi="Arial Black"/>
                <w:w w:val="90"/>
                <w:sz w:val="20"/>
              </w:rPr>
              <w:t>y</w:t>
            </w:r>
            <w:r w:rsidRPr="00E061B4">
              <w:rPr>
                <w:rFonts w:ascii="Arial Black" w:hAnsi="Arial Black"/>
                <w:w w:val="90"/>
                <w:sz w:val="20"/>
              </w:rPr>
              <w:t>ard)</w:t>
            </w:r>
          </w:p>
        </w:tc>
        <w:tc>
          <w:tcPr>
            <w:tcW w:w="1498" w:type="dxa"/>
            <w:shd w:val="clear" w:color="auto" w:fill="CACED2"/>
          </w:tcPr>
          <w:p w:rsidRPr="00AA15B9" w:rsidR="00EA198B" w:rsidP="00AA15B9" w:rsidRDefault="00605100">
            <w:pPr>
              <w:pStyle w:val="TableParagraph"/>
              <w:rPr>
                <w:rFonts w:ascii="Arial Black"/>
                <w:b/>
                <w:w w:val="90"/>
                <w:sz w:val="20"/>
              </w:rPr>
            </w:pPr>
            <w:r>
              <w:rPr>
                <w:rFonts w:ascii="Arial Black"/>
                <w:b/>
                <w:w w:val="90"/>
                <w:sz w:val="20"/>
              </w:rPr>
              <w:t>7</w:t>
            </w:r>
            <w:r w:rsidR="00221D3E">
              <w:rPr>
                <w:rFonts w:ascii="Arial Black"/>
                <w:b/>
                <w:w w:val="90"/>
                <w:sz w:val="20"/>
              </w:rPr>
              <w:t>1</w:t>
            </w:r>
            <w:r w:rsidR="005E6A55">
              <w:rPr>
                <w:rFonts w:ascii="Arial Black"/>
                <w:b/>
                <w:w w:val="90"/>
                <w:sz w:val="20"/>
              </w:rPr>
              <w:t>.</w:t>
            </w:r>
            <w:r w:rsidR="00221D3E">
              <w:rPr>
                <w:rFonts w:ascii="Arial Black"/>
                <w:b/>
                <w:w w:val="90"/>
                <w:sz w:val="20"/>
              </w:rPr>
              <w:t>60</w:t>
            </w:r>
            <w:r w:rsidR="00EA198B">
              <w:rPr>
                <w:rFonts w:ascii="Arial Black"/>
                <w:b/>
                <w:w w:val="90"/>
                <w:sz w:val="20"/>
              </w:rPr>
              <w:t xml:space="preserve">      </w:t>
            </w:r>
            <w:r w:rsidRPr="00AA15B9" w:rsidR="00EA198B">
              <w:rPr>
                <w:rFonts w:ascii="Arial Black"/>
                <w:b/>
                <w:w w:val="90"/>
                <w:sz w:val="20"/>
              </w:rPr>
              <w:t xml:space="preserve"> </w:t>
            </w:r>
            <w:proofErr w:type="spellStart"/>
            <w:r w:rsidRPr="00AA15B9" w:rsidR="00EA198B">
              <w:rPr>
                <w:rFonts w:ascii="Arial Black"/>
                <w:b/>
                <w:w w:val="90"/>
                <w:sz w:val="20"/>
              </w:rPr>
              <w:t>sq</w:t>
            </w:r>
            <w:proofErr w:type="spellEnd"/>
            <w:r w:rsidRPr="00AA15B9" w:rsidR="00EA198B">
              <w:rPr>
                <w:rFonts w:ascii="Arial Black"/>
                <w:b/>
                <w:w w:val="90"/>
                <w:sz w:val="20"/>
              </w:rPr>
              <w:t xml:space="preserve"> m</w:t>
            </w:r>
          </w:p>
          <w:p w:rsidRPr="00AA15B9" w:rsidR="00EA198B" w:rsidP="00AA15B9" w:rsidRDefault="00EA198B">
            <w:pPr>
              <w:pStyle w:val="TableParagraph"/>
              <w:rPr>
                <w:rFonts w:ascii="Arial Black"/>
                <w:b/>
                <w:w w:val="90"/>
                <w:sz w:val="20"/>
              </w:rPr>
            </w:pPr>
          </w:p>
        </w:tc>
        <w:tc>
          <w:tcPr>
            <w:tcW w:w="1015" w:type="dxa"/>
            <w:shd w:val="clear" w:color="auto" w:fill="CACED2"/>
          </w:tcPr>
          <w:p w:rsidRPr="00AA15B9" w:rsidR="00EA198B" w:rsidP="00AA15B9" w:rsidRDefault="00221D3E">
            <w:pPr>
              <w:pStyle w:val="TableParagraph"/>
              <w:rPr>
                <w:rFonts w:ascii="Arial Black"/>
                <w:b/>
                <w:w w:val="90"/>
                <w:sz w:val="20"/>
              </w:rPr>
            </w:pPr>
            <w:r>
              <w:rPr>
                <w:rFonts w:ascii="Arial Black"/>
                <w:b/>
                <w:w w:val="90"/>
                <w:sz w:val="20"/>
              </w:rPr>
              <w:t>771</w:t>
            </w:r>
            <w:r w:rsidR="005E6A55">
              <w:rPr>
                <w:rFonts w:ascii="Arial Black"/>
                <w:b/>
                <w:w w:val="90"/>
                <w:sz w:val="20"/>
              </w:rPr>
              <w:t xml:space="preserve"> </w:t>
            </w:r>
            <w:proofErr w:type="spellStart"/>
            <w:r w:rsidRPr="00AA15B9" w:rsidR="00EA198B">
              <w:rPr>
                <w:rFonts w:ascii="Arial Black"/>
                <w:b/>
                <w:w w:val="90"/>
                <w:sz w:val="20"/>
              </w:rPr>
              <w:t>sq</w:t>
            </w:r>
            <w:proofErr w:type="spellEnd"/>
            <w:r w:rsidRPr="00AA15B9" w:rsidR="00EA198B">
              <w:rPr>
                <w:rFonts w:ascii="Arial Black"/>
                <w:b/>
                <w:w w:val="90"/>
                <w:sz w:val="20"/>
              </w:rPr>
              <w:t xml:space="preserve"> </w:t>
            </w:r>
            <w:proofErr w:type="spellStart"/>
            <w:r w:rsidRPr="00AA15B9" w:rsidR="00EA198B">
              <w:rPr>
                <w:rFonts w:ascii="Arial Black"/>
                <w:b/>
                <w:w w:val="90"/>
                <w:sz w:val="20"/>
              </w:rPr>
              <w:t>ft</w:t>
            </w:r>
            <w:proofErr w:type="spellEnd"/>
          </w:p>
          <w:p w:rsidRPr="00AA15B9" w:rsidR="00EA198B" w:rsidP="00AA15B9" w:rsidRDefault="00EA198B">
            <w:pPr>
              <w:pStyle w:val="TableParagraph"/>
              <w:rPr>
                <w:rFonts w:ascii="Arial Black"/>
                <w:b/>
                <w:w w:val="90"/>
                <w:sz w:val="20"/>
              </w:rPr>
            </w:pPr>
          </w:p>
        </w:tc>
      </w:tr>
    </w:tbl>
    <w:p w:rsidRPr="00655003" w:rsidR="00D72C9C" w:rsidRDefault="00D72C9C">
      <w:pPr>
        <w:pStyle w:val="Heading2"/>
        <w:rPr>
          <w:rFonts w:ascii="Arial" w:hAnsi="Arial" w:cs="Arial"/>
          <w:sz w:val="20"/>
        </w:rPr>
      </w:pPr>
      <w:r w:rsidRPr="00655003">
        <w:rPr>
          <w:rFonts w:ascii="Arial" w:hAnsi="Arial" w:cs="Arial"/>
          <w:sz w:val="20"/>
        </w:rPr>
        <w:t>LEASE TERMS</w:t>
      </w:r>
    </w:p>
    <w:p w:rsidR="00D72C9C" w:rsidRDefault="00D72C9C">
      <w:pPr>
        <w:jc w:val="both"/>
        <w:rPr>
          <w:rFonts w:ascii="Arial" w:hAnsi="Arial" w:cs="Arial"/>
        </w:rPr>
      </w:pPr>
      <w:r>
        <w:rPr>
          <w:rFonts w:ascii="Arial" w:hAnsi="Arial" w:cs="Arial"/>
        </w:rPr>
        <w:t>The premises are available to let</w:t>
      </w:r>
      <w:r w:rsidR="00EA17A2">
        <w:rPr>
          <w:rFonts w:ascii="Arial" w:hAnsi="Arial" w:cs="Arial"/>
        </w:rPr>
        <w:t>,</w:t>
      </w:r>
      <w:r>
        <w:rPr>
          <w:rFonts w:ascii="Arial" w:hAnsi="Arial" w:cs="Arial"/>
        </w:rPr>
        <w:t xml:space="preserve"> on a new lease</w:t>
      </w:r>
      <w:r w:rsidR="00FB32DC">
        <w:rPr>
          <w:rFonts w:ascii="Arial" w:hAnsi="Arial" w:cs="Arial"/>
        </w:rPr>
        <w:t>,</w:t>
      </w:r>
      <w:r w:rsidR="0066577D">
        <w:rPr>
          <w:rFonts w:ascii="Arial" w:hAnsi="Arial" w:cs="Arial"/>
        </w:rPr>
        <w:t xml:space="preserve"> subject to contract</w:t>
      </w:r>
      <w:r>
        <w:rPr>
          <w:rFonts w:ascii="Arial" w:hAnsi="Arial" w:cs="Arial"/>
        </w:rPr>
        <w:t>:-</w:t>
      </w:r>
    </w:p>
    <w:tbl>
      <w:tblPr>
        <w:tblW w:w="8856" w:type="dxa"/>
        <w:tblLayout w:type="fixed"/>
        <w:tblLook w:val="0000" w:firstRow="0" w:lastRow="0" w:firstColumn="0" w:lastColumn="0" w:noHBand="0" w:noVBand="0"/>
      </w:tblPr>
      <w:tblGrid>
        <w:gridCol w:w="2093"/>
        <w:gridCol w:w="6763"/>
      </w:tblGrid>
      <w:tr w:rsidR="00D72C9C" w:rsidTr="0075274E">
        <w:tc>
          <w:tcPr>
            <w:tcW w:w="2093" w:type="dxa"/>
          </w:tcPr>
          <w:p w:rsidRPr="0078720E" w:rsidR="00D72C9C" w:rsidRDefault="00D72C9C">
            <w:pPr>
              <w:pStyle w:val="Heading2"/>
              <w:rPr>
                <w:rFonts w:ascii="Arial" w:hAnsi="Arial" w:cs="Arial"/>
                <w:sz w:val="20"/>
              </w:rPr>
            </w:pPr>
            <w:r w:rsidRPr="0078720E">
              <w:rPr>
                <w:rFonts w:ascii="Arial" w:hAnsi="Arial" w:cs="Arial"/>
                <w:sz w:val="20"/>
              </w:rPr>
              <w:t>TERM</w:t>
            </w:r>
          </w:p>
        </w:tc>
        <w:tc>
          <w:tcPr>
            <w:tcW w:w="6763" w:type="dxa"/>
          </w:tcPr>
          <w:p w:rsidRPr="0078720E" w:rsidR="00D72C9C" w:rsidP="003910B7" w:rsidRDefault="00E70334">
            <w:pPr>
              <w:jc w:val="both"/>
              <w:rPr>
                <w:rFonts w:ascii="Arial" w:hAnsi="Arial" w:cs="Arial"/>
              </w:rPr>
            </w:pPr>
            <w:r>
              <w:rPr>
                <w:rFonts w:ascii="Arial" w:hAnsi="Arial" w:cs="Arial"/>
              </w:rPr>
              <w:t>A f</w:t>
            </w:r>
            <w:r w:rsidR="00D227D3">
              <w:rPr>
                <w:rFonts w:ascii="Arial" w:hAnsi="Arial" w:cs="Arial"/>
              </w:rPr>
              <w:t>ive</w:t>
            </w:r>
            <w:r w:rsidR="003910B7">
              <w:rPr>
                <w:rFonts w:ascii="Arial" w:hAnsi="Arial" w:cs="Arial"/>
              </w:rPr>
              <w:t>, ten or</w:t>
            </w:r>
            <w:r w:rsidR="00D227D3">
              <w:rPr>
                <w:rFonts w:ascii="Arial" w:hAnsi="Arial" w:cs="Arial"/>
              </w:rPr>
              <w:t xml:space="preserve"> </w:t>
            </w:r>
            <w:r w:rsidR="00EA17A2">
              <w:rPr>
                <w:rFonts w:ascii="Arial" w:hAnsi="Arial" w:cs="Arial"/>
              </w:rPr>
              <w:t xml:space="preserve">fifteen </w:t>
            </w:r>
            <w:r w:rsidR="004E3CC5">
              <w:rPr>
                <w:rFonts w:ascii="Arial" w:hAnsi="Arial" w:cs="Arial"/>
              </w:rPr>
              <w:t>year term</w:t>
            </w:r>
            <w:r w:rsidR="00D227D3">
              <w:rPr>
                <w:rFonts w:ascii="Arial" w:hAnsi="Arial" w:cs="Arial"/>
              </w:rPr>
              <w:t xml:space="preserve"> is available.</w:t>
            </w:r>
          </w:p>
        </w:tc>
      </w:tr>
      <w:tr w:rsidR="00D72C9C" w:rsidTr="0075274E">
        <w:tc>
          <w:tcPr>
            <w:tcW w:w="2093" w:type="dxa"/>
          </w:tcPr>
          <w:p w:rsidRPr="0078720E" w:rsidR="00D72C9C" w:rsidRDefault="00430782">
            <w:pPr>
              <w:jc w:val="both"/>
              <w:rPr>
                <w:rFonts w:ascii="Arial" w:hAnsi="Arial" w:cs="Arial"/>
                <w:b/>
              </w:rPr>
            </w:pPr>
            <w:r>
              <w:rPr>
                <w:rFonts w:ascii="Arial" w:hAnsi="Arial" w:cs="Arial"/>
                <w:b/>
              </w:rPr>
              <w:t>GUIDE</w:t>
            </w:r>
            <w:r w:rsidRPr="0078720E" w:rsidR="00D227D3">
              <w:rPr>
                <w:rFonts w:ascii="Arial" w:hAnsi="Arial" w:cs="Arial"/>
                <w:b/>
              </w:rPr>
              <w:t xml:space="preserve"> </w:t>
            </w:r>
            <w:r w:rsidRPr="0078720E" w:rsidR="00D72C9C">
              <w:rPr>
                <w:rFonts w:ascii="Arial" w:hAnsi="Arial" w:cs="Arial"/>
                <w:b/>
              </w:rPr>
              <w:t>RENT</w:t>
            </w:r>
          </w:p>
        </w:tc>
        <w:tc>
          <w:tcPr>
            <w:tcW w:w="6763" w:type="dxa"/>
          </w:tcPr>
          <w:p w:rsidRPr="0078720E" w:rsidR="00D72C9C" w:rsidP="00F231D6" w:rsidRDefault="00D72C9C">
            <w:pPr>
              <w:jc w:val="both"/>
              <w:rPr>
                <w:rFonts w:ascii="Arial" w:hAnsi="Arial" w:cs="Arial"/>
              </w:rPr>
            </w:pPr>
            <w:r w:rsidRPr="00014D3A">
              <w:rPr>
                <w:rFonts w:ascii="Arial" w:hAnsi="Arial" w:cs="Arial"/>
              </w:rPr>
              <w:t>£</w:t>
            </w:r>
            <w:r w:rsidR="005E6A55">
              <w:rPr>
                <w:rFonts w:ascii="Arial" w:hAnsi="Arial" w:cs="Arial"/>
              </w:rPr>
              <w:t>1</w:t>
            </w:r>
            <w:r w:rsidR="00D0368B">
              <w:rPr>
                <w:rFonts w:ascii="Arial" w:hAnsi="Arial" w:cs="Arial"/>
              </w:rPr>
              <w:t>4</w:t>
            </w:r>
            <w:r w:rsidR="005E6A55">
              <w:rPr>
                <w:rFonts w:ascii="Arial" w:hAnsi="Arial" w:cs="Arial"/>
              </w:rPr>
              <w:t>,000</w:t>
            </w:r>
            <w:r w:rsidRPr="0078720E" w:rsidR="00E559CF">
              <w:rPr>
                <w:rFonts w:ascii="Arial" w:hAnsi="Arial" w:cs="Arial"/>
                <w:b/>
              </w:rPr>
              <w:t xml:space="preserve"> </w:t>
            </w:r>
            <w:r w:rsidR="00430782">
              <w:rPr>
                <w:rFonts w:ascii="Arial" w:hAnsi="Arial" w:cs="Arial"/>
              </w:rPr>
              <w:t>per annum</w:t>
            </w:r>
          </w:p>
        </w:tc>
      </w:tr>
      <w:tr w:rsidR="00D72C9C" w:rsidTr="0075274E">
        <w:tc>
          <w:tcPr>
            <w:tcW w:w="2093" w:type="dxa"/>
          </w:tcPr>
          <w:p w:rsidRPr="0078720E" w:rsidR="00D72C9C" w:rsidRDefault="00D72C9C">
            <w:pPr>
              <w:jc w:val="both"/>
              <w:rPr>
                <w:rFonts w:ascii="Arial" w:hAnsi="Arial" w:cs="Arial"/>
                <w:b/>
              </w:rPr>
            </w:pPr>
            <w:r w:rsidRPr="0078720E">
              <w:rPr>
                <w:rFonts w:ascii="Arial" w:hAnsi="Arial" w:cs="Arial"/>
                <w:b/>
              </w:rPr>
              <w:t>RENT REVIEW</w:t>
            </w:r>
            <w:r w:rsidR="00D227D3">
              <w:rPr>
                <w:rFonts w:ascii="Arial" w:hAnsi="Arial" w:cs="Arial"/>
                <w:b/>
              </w:rPr>
              <w:t>S</w:t>
            </w:r>
          </w:p>
        </w:tc>
        <w:tc>
          <w:tcPr>
            <w:tcW w:w="6763" w:type="dxa"/>
          </w:tcPr>
          <w:p w:rsidRPr="0078720E" w:rsidR="00D72C9C" w:rsidP="00EA17A2" w:rsidRDefault="00EA17A2">
            <w:pPr>
              <w:jc w:val="both"/>
              <w:rPr>
                <w:rFonts w:ascii="Arial" w:hAnsi="Arial" w:cs="Arial"/>
              </w:rPr>
            </w:pPr>
            <w:r>
              <w:rPr>
                <w:rFonts w:ascii="Arial" w:hAnsi="Arial" w:cs="Arial"/>
              </w:rPr>
              <w:t>Five yearly upward only rent review</w:t>
            </w:r>
            <w:r w:rsidR="00E70334">
              <w:rPr>
                <w:rFonts w:ascii="Arial" w:hAnsi="Arial" w:cs="Arial"/>
              </w:rPr>
              <w:t>s.</w:t>
            </w:r>
          </w:p>
        </w:tc>
      </w:tr>
      <w:tr w:rsidR="00D72C9C" w:rsidTr="0075274E">
        <w:tc>
          <w:tcPr>
            <w:tcW w:w="2093" w:type="dxa"/>
          </w:tcPr>
          <w:p w:rsidRPr="0078720E" w:rsidR="00D72C9C" w:rsidRDefault="00D72C9C">
            <w:pPr>
              <w:jc w:val="both"/>
              <w:rPr>
                <w:rFonts w:ascii="Arial" w:hAnsi="Arial" w:cs="Arial"/>
                <w:b/>
              </w:rPr>
            </w:pPr>
            <w:r w:rsidRPr="0078720E">
              <w:rPr>
                <w:rFonts w:ascii="Arial" w:hAnsi="Arial" w:cs="Arial"/>
                <w:b/>
              </w:rPr>
              <w:t>USER</w:t>
            </w:r>
          </w:p>
        </w:tc>
        <w:tc>
          <w:tcPr>
            <w:tcW w:w="6763" w:type="dxa"/>
          </w:tcPr>
          <w:p w:rsidR="0066577D" w:rsidP="00D227D3" w:rsidRDefault="0066577D">
            <w:pPr>
              <w:jc w:val="both"/>
              <w:rPr>
                <w:rFonts w:ascii="Arial" w:hAnsi="Arial" w:cs="Arial"/>
              </w:rPr>
            </w:pPr>
            <w:r>
              <w:rPr>
                <w:rFonts w:ascii="Arial" w:hAnsi="Arial" w:cs="Arial"/>
              </w:rPr>
              <w:t>A1</w:t>
            </w:r>
            <w:r w:rsidR="00EA17A2">
              <w:rPr>
                <w:rFonts w:ascii="Arial" w:hAnsi="Arial" w:cs="Arial"/>
              </w:rPr>
              <w:t xml:space="preserve"> use (</w:t>
            </w:r>
            <w:r>
              <w:rPr>
                <w:rFonts w:ascii="Arial" w:hAnsi="Arial" w:cs="Arial"/>
              </w:rPr>
              <w:t xml:space="preserve">or A2 </w:t>
            </w:r>
            <w:r w:rsidR="00EA17A2">
              <w:rPr>
                <w:rFonts w:ascii="Arial" w:hAnsi="Arial" w:cs="Arial"/>
              </w:rPr>
              <w:t xml:space="preserve">subject to appropriate </w:t>
            </w:r>
            <w:r>
              <w:rPr>
                <w:rFonts w:ascii="Arial" w:hAnsi="Arial" w:cs="Arial"/>
              </w:rPr>
              <w:t>planning consent</w:t>
            </w:r>
            <w:r w:rsidR="00EA17A2">
              <w:rPr>
                <w:rFonts w:ascii="Arial" w:hAnsi="Arial" w:cs="Arial"/>
              </w:rPr>
              <w:t>)</w:t>
            </w:r>
            <w:r w:rsidR="003910B7">
              <w:rPr>
                <w:rFonts w:ascii="Arial" w:hAnsi="Arial" w:cs="Arial"/>
              </w:rPr>
              <w:t>.</w:t>
            </w:r>
          </w:p>
          <w:p w:rsidRPr="0078720E" w:rsidR="00D72C9C" w:rsidP="00943791" w:rsidRDefault="00943791">
            <w:pPr>
              <w:jc w:val="both"/>
              <w:rPr>
                <w:rFonts w:ascii="Arial" w:hAnsi="Arial" w:cs="Arial"/>
              </w:rPr>
            </w:pPr>
            <w:r w:rsidRPr="0078720E">
              <w:rPr>
                <w:rFonts w:ascii="Arial" w:hAnsi="Arial" w:cs="Arial"/>
              </w:rPr>
              <w:t xml:space="preserve"> </w:t>
            </w:r>
            <w:r w:rsidRPr="0078720E" w:rsidR="003B4830">
              <w:rPr>
                <w:rFonts w:ascii="Arial" w:hAnsi="Arial" w:cs="Arial"/>
              </w:rPr>
              <w:t xml:space="preserve">(Café or </w:t>
            </w:r>
            <w:r w:rsidR="00EA17A2">
              <w:rPr>
                <w:rFonts w:ascii="Arial" w:hAnsi="Arial" w:cs="Arial"/>
              </w:rPr>
              <w:t>t</w:t>
            </w:r>
            <w:r w:rsidRPr="0078720E" w:rsidR="003B4830">
              <w:rPr>
                <w:rFonts w:ascii="Arial" w:hAnsi="Arial" w:cs="Arial"/>
              </w:rPr>
              <w:t>akeaway use</w:t>
            </w:r>
            <w:r w:rsidR="00EA17A2">
              <w:rPr>
                <w:rFonts w:ascii="Arial" w:hAnsi="Arial" w:cs="Arial"/>
              </w:rPr>
              <w:t xml:space="preserve"> </w:t>
            </w:r>
            <w:proofErr w:type="spellStart"/>
            <w:r w:rsidR="00EA17A2">
              <w:rPr>
                <w:rFonts w:ascii="Arial" w:hAnsi="Arial" w:cs="Arial"/>
              </w:rPr>
              <w:t>ie</w:t>
            </w:r>
            <w:proofErr w:type="spellEnd"/>
            <w:r w:rsidR="00EA17A2">
              <w:rPr>
                <w:rFonts w:ascii="Arial" w:hAnsi="Arial" w:cs="Arial"/>
              </w:rPr>
              <w:t xml:space="preserve"> </w:t>
            </w:r>
            <w:r w:rsidRPr="0078720E" w:rsidR="003B4830">
              <w:rPr>
                <w:rFonts w:ascii="Arial" w:hAnsi="Arial" w:cs="Arial"/>
              </w:rPr>
              <w:t xml:space="preserve">A3 or A5 </w:t>
            </w:r>
            <w:r w:rsidR="00EA17A2">
              <w:rPr>
                <w:rFonts w:ascii="Arial" w:hAnsi="Arial" w:cs="Arial"/>
              </w:rPr>
              <w:t xml:space="preserve">will </w:t>
            </w:r>
            <w:r w:rsidRPr="0066577D" w:rsidR="0066577D">
              <w:rPr>
                <w:rFonts w:ascii="Arial" w:hAnsi="Arial" w:cs="Arial"/>
                <w:b/>
                <w:sz w:val="22"/>
                <w:u w:val="single"/>
              </w:rPr>
              <w:t>not</w:t>
            </w:r>
            <w:r w:rsidR="009E51EB">
              <w:rPr>
                <w:rFonts w:ascii="Arial" w:hAnsi="Arial" w:cs="Arial"/>
              </w:rPr>
              <w:t xml:space="preserve"> </w:t>
            </w:r>
            <w:r w:rsidR="00EA17A2">
              <w:rPr>
                <w:rFonts w:ascii="Arial" w:hAnsi="Arial" w:cs="Arial"/>
              </w:rPr>
              <w:t xml:space="preserve">be </w:t>
            </w:r>
            <w:r w:rsidRPr="0078720E" w:rsidR="003B4830">
              <w:rPr>
                <w:rFonts w:ascii="Arial" w:hAnsi="Arial" w:cs="Arial"/>
              </w:rPr>
              <w:t>permitted)</w:t>
            </w:r>
            <w:r w:rsidR="003910B7">
              <w:rPr>
                <w:rFonts w:ascii="Arial" w:hAnsi="Arial" w:cs="Arial"/>
              </w:rPr>
              <w:t>.</w:t>
            </w:r>
            <w:r w:rsidRPr="0078720E" w:rsidR="00D72C9C">
              <w:rPr>
                <w:rFonts w:ascii="Arial" w:hAnsi="Arial" w:cs="Arial"/>
              </w:rPr>
              <w:t xml:space="preserve"> </w:t>
            </w:r>
          </w:p>
        </w:tc>
      </w:tr>
      <w:tr w:rsidR="00D72C9C" w:rsidTr="0075274E">
        <w:tc>
          <w:tcPr>
            <w:tcW w:w="2093" w:type="dxa"/>
          </w:tcPr>
          <w:p w:rsidRPr="0078720E" w:rsidR="00D72C9C" w:rsidRDefault="00D72C9C">
            <w:pPr>
              <w:jc w:val="both"/>
              <w:rPr>
                <w:rFonts w:ascii="Arial" w:hAnsi="Arial" w:cs="Arial"/>
                <w:b/>
              </w:rPr>
            </w:pPr>
            <w:r w:rsidRPr="0078720E">
              <w:rPr>
                <w:rFonts w:ascii="Arial" w:hAnsi="Arial" w:cs="Arial"/>
                <w:b/>
              </w:rPr>
              <w:t>REPAIRS</w:t>
            </w:r>
          </w:p>
        </w:tc>
        <w:tc>
          <w:tcPr>
            <w:tcW w:w="6763" w:type="dxa"/>
          </w:tcPr>
          <w:p w:rsidRPr="0078720E" w:rsidR="00D72C9C" w:rsidP="000A333C" w:rsidRDefault="00D72C9C">
            <w:pPr>
              <w:jc w:val="both"/>
              <w:rPr>
                <w:rFonts w:ascii="Arial" w:hAnsi="Arial" w:cs="Arial"/>
              </w:rPr>
            </w:pPr>
            <w:r w:rsidRPr="0078720E">
              <w:rPr>
                <w:rFonts w:ascii="Arial" w:hAnsi="Arial" w:cs="Arial"/>
              </w:rPr>
              <w:t xml:space="preserve">The </w:t>
            </w:r>
            <w:r w:rsidR="00F029B1">
              <w:rPr>
                <w:rFonts w:ascii="Arial" w:hAnsi="Arial" w:cs="Arial"/>
              </w:rPr>
              <w:t>t</w:t>
            </w:r>
            <w:r w:rsidR="000A333C">
              <w:rPr>
                <w:rFonts w:ascii="Arial" w:hAnsi="Arial" w:cs="Arial"/>
              </w:rPr>
              <w:t>enant</w:t>
            </w:r>
            <w:r w:rsidRPr="0078720E">
              <w:rPr>
                <w:rFonts w:ascii="Arial" w:hAnsi="Arial" w:cs="Arial"/>
              </w:rPr>
              <w:t xml:space="preserve"> </w:t>
            </w:r>
            <w:r w:rsidR="00EA17A2">
              <w:rPr>
                <w:rFonts w:ascii="Arial" w:hAnsi="Arial" w:cs="Arial"/>
              </w:rPr>
              <w:t xml:space="preserve">is </w:t>
            </w:r>
            <w:r w:rsidRPr="0078720E">
              <w:rPr>
                <w:rFonts w:ascii="Arial" w:hAnsi="Arial" w:cs="Arial"/>
              </w:rPr>
              <w:t xml:space="preserve">responsible for </w:t>
            </w:r>
            <w:r w:rsidR="00EA17A2">
              <w:rPr>
                <w:rFonts w:ascii="Arial" w:hAnsi="Arial" w:cs="Arial"/>
              </w:rPr>
              <w:t xml:space="preserve">the </w:t>
            </w:r>
            <w:r w:rsidRPr="0078720E">
              <w:rPr>
                <w:rFonts w:ascii="Arial" w:hAnsi="Arial" w:cs="Arial"/>
              </w:rPr>
              <w:t>repair and maintenance of the interior of the shop</w:t>
            </w:r>
            <w:r w:rsidR="000A333C">
              <w:rPr>
                <w:rFonts w:ascii="Arial" w:hAnsi="Arial" w:cs="Arial"/>
              </w:rPr>
              <w:t xml:space="preserve">, </w:t>
            </w:r>
            <w:r w:rsidRPr="0078720E">
              <w:rPr>
                <w:rFonts w:ascii="Arial" w:hAnsi="Arial" w:cs="Arial"/>
              </w:rPr>
              <w:t xml:space="preserve">for the shopfront, windows and </w:t>
            </w:r>
            <w:r w:rsidR="00EA17A2">
              <w:rPr>
                <w:rFonts w:ascii="Arial" w:hAnsi="Arial" w:cs="Arial"/>
              </w:rPr>
              <w:t xml:space="preserve">all </w:t>
            </w:r>
            <w:r w:rsidRPr="0078720E">
              <w:rPr>
                <w:rFonts w:ascii="Arial" w:hAnsi="Arial" w:cs="Arial"/>
              </w:rPr>
              <w:t>doors.</w:t>
            </w:r>
          </w:p>
        </w:tc>
      </w:tr>
      <w:tr w:rsidR="00D72C9C" w:rsidTr="00F35338">
        <w:trPr>
          <w:trHeight w:val="381"/>
        </w:trPr>
        <w:tc>
          <w:tcPr>
            <w:tcW w:w="2093" w:type="dxa"/>
          </w:tcPr>
          <w:p w:rsidR="00D72C9C" w:rsidRDefault="00D72C9C">
            <w:pPr>
              <w:jc w:val="both"/>
              <w:rPr>
                <w:rFonts w:ascii="Arial" w:hAnsi="Arial" w:cs="Arial"/>
                <w:b/>
              </w:rPr>
            </w:pPr>
            <w:r w:rsidRPr="0078720E">
              <w:rPr>
                <w:rFonts w:ascii="Arial" w:hAnsi="Arial" w:cs="Arial"/>
                <w:b/>
              </w:rPr>
              <w:t>OUTGOINGS</w:t>
            </w:r>
          </w:p>
          <w:p w:rsidR="00EA17A2" w:rsidRDefault="00EA17A2">
            <w:pPr>
              <w:jc w:val="both"/>
              <w:rPr>
                <w:rFonts w:ascii="Arial" w:hAnsi="Arial" w:cs="Arial"/>
                <w:b/>
              </w:rPr>
            </w:pPr>
          </w:p>
          <w:p w:rsidRPr="0078720E" w:rsidR="00EA17A2" w:rsidRDefault="00EA17A2">
            <w:pPr>
              <w:jc w:val="both"/>
              <w:rPr>
                <w:rFonts w:ascii="Arial" w:hAnsi="Arial" w:cs="Arial"/>
                <w:b/>
              </w:rPr>
            </w:pPr>
            <w:r>
              <w:rPr>
                <w:rFonts w:ascii="Arial" w:hAnsi="Arial" w:cs="Arial"/>
                <w:b/>
              </w:rPr>
              <w:t>INSURANCE</w:t>
            </w:r>
          </w:p>
        </w:tc>
        <w:tc>
          <w:tcPr>
            <w:tcW w:w="6763" w:type="dxa"/>
          </w:tcPr>
          <w:p w:rsidR="00EA17A2" w:rsidP="00EA17A2" w:rsidRDefault="000A333C">
            <w:pPr>
              <w:jc w:val="both"/>
              <w:rPr>
                <w:rFonts w:ascii="Arial" w:hAnsi="Arial" w:cs="Arial"/>
              </w:rPr>
            </w:pPr>
            <w:r>
              <w:rPr>
                <w:rFonts w:ascii="Arial" w:hAnsi="Arial" w:cs="Arial"/>
              </w:rPr>
              <w:t>The tenant</w:t>
            </w:r>
            <w:r w:rsidRPr="0078720E" w:rsidR="00D72C9C">
              <w:rPr>
                <w:rFonts w:ascii="Arial" w:hAnsi="Arial" w:cs="Arial"/>
              </w:rPr>
              <w:t xml:space="preserve"> </w:t>
            </w:r>
            <w:r w:rsidR="00EA17A2">
              <w:rPr>
                <w:rFonts w:ascii="Arial" w:hAnsi="Arial" w:cs="Arial"/>
              </w:rPr>
              <w:t xml:space="preserve">will </w:t>
            </w:r>
            <w:r w:rsidRPr="0078720E" w:rsidR="00D72C9C">
              <w:rPr>
                <w:rFonts w:ascii="Arial" w:hAnsi="Arial" w:cs="Arial"/>
              </w:rPr>
              <w:t xml:space="preserve">pay all outgoings </w:t>
            </w:r>
            <w:r w:rsidR="0066577D">
              <w:rPr>
                <w:rFonts w:ascii="Arial" w:hAnsi="Arial" w:cs="Arial"/>
              </w:rPr>
              <w:t xml:space="preserve">connected with the shop, </w:t>
            </w:r>
            <w:r w:rsidRPr="0078720E" w:rsidR="00D72C9C">
              <w:rPr>
                <w:rFonts w:ascii="Arial" w:hAnsi="Arial" w:cs="Arial"/>
              </w:rPr>
              <w:t>includi</w:t>
            </w:r>
            <w:r w:rsidR="0066577D">
              <w:rPr>
                <w:rFonts w:ascii="Arial" w:hAnsi="Arial" w:cs="Arial"/>
              </w:rPr>
              <w:t>ng business rates</w:t>
            </w:r>
            <w:r>
              <w:rPr>
                <w:rFonts w:ascii="Arial" w:hAnsi="Arial" w:cs="Arial"/>
              </w:rPr>
              <w:t>, building insurance and all utility</w:t>
            </w:r>
            <w:r w:rsidR="00EA17A2">
              <w:rPr>
                <w:rFonts w:ascii="Arial" w:hAnsi="Arial" w:cs="Arial"/>
              </w:rPr>
              <w:t xml:space="preserve"> </w:t>
            </w:r>
            <w:r w:rsidRPr="0078720E" w:rsidR="00D72C9C">
              <w:rPr>
                <w:rFonts w:ascii="Arial" w:hAnsi="Arial" w:cs="Arial"/>
              </w:rPr>
              <w:t xml:space="preserve">charges. </w:t>
            </w:r>
          </w:p>
          <w:p w:rsidRPr="0078720E" w:rsidR="00D72C9C" w:rsidP="00D0368B" w:rsidRDefault="000A333C">
            <w:pPr>
              <w:jc w:val="both"/>
              <w:rPr>
                <w:rFonts w:ascii="Arial" w:hAnsi="Arial" w:cs="Arial"/>
              </w:rPr>
            </w:pPr>
            <w:r>
              <w:rPr>
                <w:rFonts w:ascii="Arial" w:hAnsi="Arial" w:cs="Arial"/>
              </w:rPr>
              <w:t>The tenant</w:t>
            </w:r>
            <w:r w:rsidRPr="0078720E" w:rsidR="00D72C9C">
              <w:rPr>
                <w:rFonts w:ascii="Arial" w:hAnsi="Arial" w:cs="Arial"/>
              </w:rPr>
              <w:t xml:space="preserve"> will reimburse the Council </w:t>
            </w:r>
            <w:r w:rsidR="00BD076C">
              <w:rPr>
                <w:rFonts w:ascii="Arial" w:hAnsi="Arial" w:cs="Arial"/>
              </w:rPr>
              <w:t xml:space="preserve">the cost of building </w:t>
            </w:r>
            <w:r w:rsidRPr="0078720E" w:rsidR="00D72C9C">
              <w:rPr>
                <w:rFonts w:ascii="Arial" w:hAnsi="Arial" w:cs="Arial"/>
              </w:rPr>
              <w:t xml:space="preserve">insurance for </w:t>
            </w:r>
            <w:r w:rsidR="00BD076C">
              <w:rPr>
                <w:rFonts w:ascii="Arial" w:hAnsi="Arial" w:cs="Arial"/>
              </w:rPr>
              <w:t xml:space="preserve">this </w:t>
            </w:r>
            <w:r w:rsidR="00EA17A2">
              <w:rPr>
                <w:rFonts w:ascii="Arial" w:hAnsi="Arial" w:cs="Arial"/>
              </w:rPr>
              <w:t xml:space="preserve">shop </w:t>
            </w:r>
            <w:r w:rsidR="00BD076C">
              <w:rPr>
                <w:rFonts w:ascii="Arial" w:hAnsi="Arial" w:cs="Arial"/>
              </w:rPr>
              <w:t xml:space="preserve">under the Council’s </w:t>
            </w:r>
            <w:r w:rsidRPr="0078720E" w:rsidR="00D72C9C">
              <w:rPr>
                <w:rFonts w:ascii="Arial" w:hAnsi="Arial" w:cs="Arial"/>
              </w:rPr>
              <w:t>block policy</w:t>
            </w:r>
            <w:r w:rsidR="00BD076C">
              <w:rPr>
                <w:rFonts w:ascii="Arial" w:hAnsi="Arial" w:cs="Arial"/>
              </w:rPr>
              <w:t>.</w:t>
            </w:r>
            <w:r w:rsidR="00E07996">
              <w:rPr>
                <w:rFonts w:ascii="Arial" w:hAnsi="Arial" w:cs="Arial"/>
              </w:rPr>
              <w:t xml:space="preserve"> </w:t>
            </w:r>
            <w:r w:rsidR="00BD076C">
              <w:rPr>
                <w:rFonts w:ascii="Arial" w:hAnsi="Arial" w:cs="Arial"/>
              </w:rPr>
              <w:t>In 201</w:t>
            </w:r>
            <w:r w:rsidR="00D0368B">
              <w:rPr>
                <w:rFonts w:ascii="Arial" w:hAnsi="Arial" w:cs="Arial"/>
              </w:rPr>
              <w:t>7</w:t>
            </w:r>
            <w:r w:rsidR="00BD076C">
              <w:rPr>
                <w:rFonts w:ascii="Arial" w:hAnsi="Arial" w:cs="Arial"/>
              </w:rPr>
              <w:t>/1</w:t>
            </w:r>
            <w:r w:rsidR="00D0368B">
              <w:rPr>
                <w:rFonts w:ascii="Arial" w:hAnsi="Arial" w:cs="Arial"/>
              </w:rPr>
              <w:t>8</w:t>
            </w:r>
            <w:r w:rsidR="00BD076C">
              <w:rPr>
                <w:rFonts w:ascii="Arial" w:hAnsi="Arial" w:cs="Arial"/>
              </w:rPr>
              <w:t xml:space="preserve"> this amounts to £</w:t>
            </w:r>
            <w:r w:rsidRPr="000A4E17" w:rsidR="000A4E17">
              <w:rPr>
                <w:rFonts w:ascii="Arial" w:hAnsi="Arial" w:cs="Arial"/>
              </w:rPr>
              <w:t xml:space="preserve"> £61.93</w:t>
            </w:r>
            <w:r>
              <w:rPr>
                <w:rFonts w:ascii="Arial" w:hAnsi="Arial" w:cs="Arial"/>
              </w:rPr>
              <w:t>.</w:t>
            </w:r>
          </w:p>
        </w:tc>
      </w:tr>
      <w:tr w:rsidR="00D72C9C" w:rsidTr="0075274E">
        <w:tc>
          <w:tcPr>
            <w:tcW w:w="2093" w:type="dxa"/>
          </w:tcPr>
          <w:p w:rsidRPr="0078720E" w:rsidR="00D72C9C" w:rsidRDefault="00D72C9C">
            <w:pPr>
              <w:jc w:val="both"/>
              <w:rPr>
                <w:rFonts w:ascii="Arial" w:hAnsi="Arial" w:cs="Arial"/>
                <w:b/>
              </w:rPr>
            </w:pPr>
            <w:r w:rsidRPr="0078720E">
              <w:rPr>
                <w:rFonts w:ascii="Arial" w:hAnsi="Arial" w:cs="Arial"/>
                <w:b/>
              </w:rPr>
              <w:t>ALIENATION</w:t>
            </w:r>
          </w:p>
        </w:tc>
        <w:tc>
          <w:tcPr>
            <w:tcW w:w="6763" w:type="dxa"/>
          </w:tcPr>
          <w:p w:rsidRPr="0078720E" w:rsidR="00D72C9C" w:rsidP="000A333C" w:rsidRDefault="000A333C">
            <w:pPr>
              <w:jc w:val="both"/>
              <w:rPr>
                <w:rFonts w:ascii="Arial" w:hAnsi="Arial" w:cs="Arial"/>
              </w:rPr>
            </w:pPr>
            <w:r>
              <w:rPr>
                <w:rFonts w:ascii="Arial" w:hAnsi="Arial" w:cs="Arial"/>
              </w:rPr>
              <w:t>Assignment of the whole of the premises, only</w:t>
            </w:r>
            <w:r w:rsidRPr="0078720E" w:rsidR="00D72C9C">
              <w:rPr>
                <w:rFonts w:ascii="Arial" w:hAnsi="Arial" w:cs="Arial"/>
              </w:rPr>
              <w:t xml:space="preserve"> </w:t>
            </w:r>
            <w:r w:rsidR="007D076A">
              <w:rPr>
                <w:rFonts w:ascii="Arial" w:hAnsi="Arial" w:cs="Arial"/>
              </w:rPr>
              <w:t xml:space="preserve">with </w:t>
            </w:r>
            <w:r>
              <w:rPr>
                <w:rFonts w:ascii="Arial" w:hAnsi="Arial" w:cs="Arial"/>
              </w:rPr>
              <w:t>the C</w:t>
            </w:r>
            <w:r w:rsidR="007D076A">
              <w:rPr>
                <w:rFonts w:ascii="Arial" w:hAnsi="Arial" w:cs="Arial"/>
              </w:rPr>
              <w:t xml:space="preserve">ouncil’s </w:t>
            </w:r>
            <w:r w:rsidR="003910B7">
              <w:rPr>
                <w:rFonts w:ascii="Arial" w:hAnsi="Arial" w:cs="Arial"/>
              </w:rPr>
              <w:t xml:space="preserve">prior written </w:t>
            </w:r>
            <w:r w:rsidR="007D076A">
              <w:rPr>
                <w:rFonts w:ascii="Arial" w:hAnsi="Arial" w:cs="Arial"/>
              </w:rPr>
              <w:t>consent</w:t>
            </w:r>
            <w:r w:rsidR="00BD076C">
              <w:rPr>
                <w:rFonts w:ascii="Arial" w:hAnsi="Arial" w:cs="Arial"/>
              </w:rPr>
              <w:t>, s</w:t>
            </w:r>
            <w:r w:rsidR="00D227D3">
              <w:rPr>
                <w:rFonts w:ascii="Arial" w:hAnsi="Arial" w:cs="Arial"/>
              </w:rPr>
              <w:t xml:space="preserve">ubletting </w:t>
            </w:r>
            <w:r w:rsidR="00BD076C">
              <w:rPr>
                <w:rFonts w:ascii="Arial" w:hAnsi="Arial" w:cs="Arial"/>
              </w:rPr>
              <w:t xml:space="preserve">is </w:t>
            </w:r>
            <w:r w:rsidR="00D227D3">
              <w:rPr>
                <w:rFonts w:ascii="Arial" w:hAnsi="Arial" w:cs="Arial"/>
              </w:rPr>
              <w:t>prohibited.</w:t>
            </w:r>
          </w:p>
        </w:tc>
      </w:tr>
      <w:tr w:rsidR="00D72C9C" w:rsidTr="0075274E">
        <w:tc>
          <w:tcPr>
            <w:tcW w:w="2093" w:type="dxa"/>
          </w:tcPr>
          <w:p w:rsidR="00655003" w:rsidRDefault="00D72C9C">
            <w:pPr>
              <w:jc w:val="both"/>
              <w:rPr>
                <w:rFonts w:ascii="Arial" w:hAnsi="Arial" w:cs="Arial"/>
                <w:b/>
              </w:rPr>
            </w:pPr>
            <w:r w:rsidRPr="0078720E">
              <w:rPr>
                <w:rFonts w:ascii="Arial" w:hAnsi="Arial" w:cs="Arial"/>
                <w:b/>
              </w:rPr>
              <w:t>RATEABLE VALUE</w:t>
            </w:r>
          </w:p>
          <w:p w:rsidR="00655003" w:rsidRDefault="00655003">
            <w:pPr>
              <w:jc w:val="both"/>
              <w:rPr>
                <w:rFonts w:ascii="Arial" w:hAnsi="Arial" w:cs="Arial"/>
                <w:b/>
              </w:rPr>
            </w:pPr>
          </w:p>
          <w:p w:rsidRPr="0078720E" w:rsidR="00716530" w:rsidRDefault="00716530">
            <w:pPr>
              <w:jc w:val="both"/>
              <w:rPr>
                <w:rFonts w:ascii="Arial" w:hAnsi="Arial" w:cs="Arial"/>
                <w:b/>
              </w:rPr>
            </w:pPr>
            <w:r>
              <w:rPr>
                <w:rFonts w:ascii="Arial" w:hAnsi="Arial" w:cs="Arial"/>
                <w:b/>
              </w:rPr>
              <w:t>REFERENCES</w:t>
            </w:r>
          </w:p>
        </w:tc>
        <w:tc>
          <w:tcPr>
            <w:tcW w:w="6763" w:type="dxa"/>
          </w:tcPr>
          <w:p w:rsidR="00791C9F" w:rsidP="00655003" w:rsidRDefault="004F5506">
            <w:pPr>
              <w:jc w:val="both"/>
              <w:rPr>
                <w:rFonts w:ascii="Arial" w:hAnsi="Arial" w:cs="Arial"/>
              </w:rPr>
            </w:pPr>
            <w:r>
              <w:rPr>
                <w:rFonts w:ascii="Calibri" w:hAnsi="Calibri" w:cs="Calibri"/>
                <w:sz w:val="22"/>
                <w:szCs w:val="22"/>
                <w:lang w:eastAsia="en-GB"/>
              </w:rPr>
              <w:t>£8,500</w:t>
            </w:r>
            <w:r w:rsidR="00D72C9C">
              <w:rPr>
                <w:rFonts w:ascii="Arial" w:hAnsi="Arial" w:cs="Arial"/>
              </w:rPr>
              <w:t xml:space="preserve">. </w:t>
            </w:r>
            <w:r w:rsidR="00E70334">
              <w:rPr>
                <w:rFonts w:ascii="Arial" w:hAnsi="Arial" w:cs="Arial"/>
              </w:rPr>
              <w:t>T</w:t>
            </w:r>
            <w:r w:rsidR="00BD076C">
              <w:rPr>
                <w:rFonts w:ascii="Arial" w:hAnsi="Arial" w:cs="Arial"/>
              </w:rPr>
              <w:t>he b</w:t>
            </w:r>
            <w:r w:rsidR="0066577D">
              <w:rPr>
                <w:rFonts w:ascii="Arial" w:hAnsi="Arial" w:cs="Arial"/>
              </w:rPr>
              <w:t>usiness rates</w:t>
            </w:r>
            <w:r w:rsidRPr="0066577D" w:rsidR="00655003">
              <w:rPr>
                <w:rFonts w:ascii="Arial" w:hAnsi="Arial" w:cs="Arial"/>
              </w:rPr>
              <w:t xml:space="preserve"> </w:t>
            </w:r>
            <w:r w:rsidR="0066577D">
              <w:rPr>
                <w:rFonts w:ascii="Arial" w:hAnsi="Arial" w:cs="Arial"/>
              </w:rPr>
              <w:t>payable</w:t>
            </w:r>
            <w:r w:rsidR="00FE54B5">
              <w:rPr>
                <w:rFonts w:ascii="Arial" w:hAnsi="Arial" w:cs="Arial"/>
              </w:rPr>
              <w:t xml:space="preserve"> </w:t>
            </w:r>
            <w:r w:rsidR="003910B7">
              <w:rPr>
                <w:rFonts w:ascii="Arial" w:hAnsi="Arial" w:cs="Arial"/>
              </w:rPr>
              <w:t>are</w:t>
            </w:r>
            <w:r w:rsidR="000A4E17">
              <w:rPr>
                <w:rFonts w:ascii="Arial" w:hAnsi="Arial" w:cs="Arial"/>
              </w:rPr>
              <w:t xml:space="preserve"> </w:t>
            </w:r>
            <w:r w:rsidRPr="004F5506">
              <w:rPr>
                <w:rFonts w:ascii="Arial" w:hAnsi="Arial" w:cs="Arial"/>
              </w:rPr>
              <w:t>£3,961</w:t>
            </w:r>
            <w:r w:rsidR="00FE54B5">
              <w:rPr>
                <w:rFonts w:ascii="Arial" w:hAnsi="Arial" w:cs="Arial"/>
              </w:rPr>
              <w:t>(201</w:t>
            </w:r>
            <w:r w:rsidR="00B403EC">
              <w:rPr>
                <w:rFonts w:ascii="Arial" w:hAnsi="Arial" w:cs="Arial"/>
              </w:rPr>
              <w:t>7</w:t>
            </w:r>
            <w:r w:rsidR="00FE54B5">
              <w:rPr>
                <w:rFonts w:ascii="Arial" w:hAnsi="Arial" w:cs="Arial"/>
              </w:rPr>
              <w:t>/201</w:t>
            </w:r>
            <w:r w:rsidR="00B403EC">
              <w:rPr>
                <w:rFonts w:ascii="Arial" w:hAnsi="Arial" w:cs="Arial"/>
              </w:rPr>
              <w:t>8</w:t>
            </w:r>
            <w:r w:rsidR="00FE54B5">
              <w:rPr>
                <w:rFonts w:ascii="Arial" w:hAnsi="Arial" w:cs="Arial"/>
              </w:rPr>
              <w:t>)</w:t>
            </w:r>
            <w:r>
              <w:rPr>
                <w:rFonts w:ascii="Arial" w:hAnsi="Arial" w:cs="Arial"/>
              </w:rPr>
              <w:t>.</w:t>
            </w:r>
          </w:p>
          <w:p w:rsidRPr="00791C9F" w:rsidR="00791C9F" w:rsidP="00EA198B" w:rsidRDefault="00791C9F">
            <w:pPr>
              <w:jc w:val="both"/>
              <w:rPr>
                <w:rFonts w:ascii="Calibri" w:hAnsi="Calibri" w:cs="Calibri"/>
                <w:sz w:val="22"/>
                <w:szCs w:val="22"/>
                <w:lang w:eastAsia="en-GB"/>
              </w:rPr>
            </w:pPr>
            <w:r w:rsidRPr="00791C9F">
              <w:rPr>
                <w:rFonts w:ascii="Calibri" w:hAnsi="Calibri" w:cs="Calibri"/>
                <w:sz w:val="22"/>
                <w:szCs w:val="22"/>
                <w:lang w:eastAsia="en-GB"/>
              </w:rPr>
              <w:t>Uniform Business Rates </w:t>
            </w:r>
            <w:proofErr w:type="spellStart"/>
            <w:r w:rsidRPr="00791C9F">
              <w:rPr>
                <w:rFonts w:ascii="Calibri" w:hAnsi="Calibri" w:cs="Calibri"/>
                <w:sz w:val="22"/>
                <w:szCs w:val="22"/>
                <w:lang w:eastAsia="en-GB"/>
              </w:rPr>
              <w:t>Mutiplier</w:t>
            </w:r>
            <w:proofErr w:type="spellEnd"/>
            <w:r w:rsidRPr="00791C9F">
              <w:rPr>
                <w:rFonts w:ascii="Calibri" w:hAnsi="Calibri" w:cs="Calibri"/>
                <w:sz w:val="22"/>
                <w:szCs w:val="22"/>
                <w:lang w:eastAsia="en-GB"/>
              </w:rPr>
              <w:t xml:space="preserve"> is (UBR) 0.466p.</w:t>
            </w:r>
          </w:p>
          <w:p w:rsidRPr="009E51EB" w:rsidR="000A333C" w:rsidP="00EA198B" w:rsidRDefault="000A333C">
            <w:pPr>
              <w:jc w:val="both"/>
              <w:rPr>
                <w:rFonts w:ascii="Arial" w:hAnsi="Arial" w:cs="Arial"/>
              </w:rPr>
            </w:pPr>
            <w:r>
              <w:rPr>
                <w:rFonts w:ascii="Arial" w:hAnsi="Arial" w:cs="Arial"/>
              </w:rPr>
              <w:t>S</w:t>
            </w:r>
            <w:r w:rsidRPr="008C4554" w:rsidR="008C4554">
              <w:rPr>
                <w:rFonts w:ascii="Arial" w:hAnsi="Arial" w:cs="Arial"/>
              </w:rPr>
              <w:t>ubject to satisfactory references</w:t>
            </w:r>
            <w:r w:rsidR="00EE0072">
              <w:rPr>
                <w:rFonts w:ascii="Arial" w:hAnsi="Arial" w:cs="Arial"/>
              </w:rPr>
              <w:t>.</w:t>
            </w:r>
          </w:p>
        </w:tc>
      </w:tr>
      <w:tr w:rsidR="00F071F3" w:rsidTr="00F35338">
        <w:trPr>
          <w:trHeight w:val="80"/>
        </w:trPr>
        <w:tc>
          <w:tcPr>
            <w:tcW w:w="2093" w:type="dxa"/>
          </w:tcPr>
          <w:p w:rsidRPr="0078720E" w:rsidR="00F071F3" w:rsidRDefault="00F071F3">
            <w:pPr>
              <w:jc w:val="both"/>
              <w:rPr>
                <w:rFonts w:ascii="Arial" w:hAnsi="Arial" w:cs="Arial"/>
                <w:b/>
              </w:rPr>
            </w:pPr>
            <w:r>
              <w:rPr>
                <w:rFonts w:ascii="Arial" w:hAnsi="Arial" w:cs="Arial"/>
                <w:b/>
              </w:rPr>
              <w:t>RENTAL DEPOSIT</w:t>
            </w:r>
          </w:p>
        </w:tc>
        <w:tc>
          <w:tcPr>
            <w:tcW w:w="6763" w:type="dxa"/>
          </w:tcPr>
          <w:p w:rsidR="00F071F3" w:rsidP="00BC4510" w:rsidRDefault="00BC4510">
            <w:pPr>
              <w:jc w:val="both"/>
              <w:rPr>
                <w:rFonts w:ascii="Arial" w:hAnsi="Arial" w:cs="Arial"/>
              </w:rPr>
            </w:pPr>
            <w:r>
              <w:rPr>
                <w:rFonts w:ascii="Arial" w:hAnsi="Arial" w:cs="Arial"/>
              </w:rPr>
              <w:t>The tenant will provide a deposit e</w:t>
            </w:r>
            <w:r w:rsidRPr="008C4554" w:rsidR="00F071F3">
              <w:rPr>
                <w:rFonts w:ascii="Arial" w:hAnsi="Arial" w:cs="Arial"/>
              </w:rPr>
              <w:t xml:space="preserve">quivalent to </w:t>
            </w:r>
            <w:r w:rsidR="00F071F3">
              <w:rPr>
                <w:rFonts w:ascii="Arial" w:hAnsi="Arial" w:cs="Arial"/>
              </w:rPr>
              <w:t>six</w:t>
            </w:r>
            <w:r w:rsidRPr="008C4554" w:rsidR="00F071F3">
              <w:rPr>
                <w:rFonts w:ascii="Arial" w:hAnsi="Arial" w:cs="Arial"/>
              </w:rPr>
              <w:t xml:space="preserve"> month</w:t>
            </w:r>
            <w:r w:rsidR="00F071F3">
              <w:rPr>
                <w:rFonts w:ascii="Arial" w:hAnsi="Arial" w:cs="Arial"/>
              </w:rPr>
              <w:t>’</w:t>
            </w:r>
            <w:r w:rsidRPr="008C4554" w:rsidR="00F071F3">
              <w:rPr>
                <w:rFonts w:ascii="Arial" w:hAnsi="Arial" w:cs="Arial"/>
              </w:rPr>
              <w:t>s rent.</w:t>
            </w:r>
          </w:p>
        </w:tc>
      </w:tr>
      <w:tr w:rsidR="00EE0072" w:rsidTr="00F35338">
        <w:trPr>
          <w:trHeight w:val="80"/>
        </w:trPr>
        <w:tc>
          <w:tcPr>
            <w:tcW w:w="2093" w:type="dxa"/>
          </w:tcPr>
          <w:p w:rsidR="00EE0072" w:rsidRDefault="00EE0072">
            <w:pPr>
              <w:jc w:val="both"/>
              <w:rPr>
                <w:rFonts w:ascii="Arial" w:hAnsi="Arial" w:cs="Arial"/>
                <w:b/>
              </w:rPr>
            </w:pPr>
            <w:r>
              <w:rPr>
                <w:rFonts w:ascii="Arial" w:hAnsi="Arial" w:cs="Arial"/>
                <w:b/>
              </w:rPr>
              <w:t>GURANTOR</w:t>
            </w:r>
          </w:p>
        </w:tc>
        <w:tc>
          <w:tcPr>
            <w:tcW w:w="6763" w:type="dxa"/>
          </w:tcPr>
          <w:p w:rsidRPr="00EE0072" w:rsidR="00EE0072" w:rsidP="0055504B" w:rsidRDefault="00EE0072">
            <w:pPr>
              <w:jc w:val="both"/>
              <w:rPr>
                <w:rFonts w:ascii="Arial" w:hAnsi="Arial" w:cs="Arial"/>
                <w:u w:val="single"/>
              </w:rPr>
            </w:pPr>
            <w:r>
              <w:rPr>
                <w:rFonts w:ascii="Arial" w:hAnsi="Arial" w:cs="Arial"/>
              </w:rPr>
              <w:t>Guarantor/Surety</w:t>
            </w:r>
            <w:r w:rsidR="00F029B1">
              <w:rPr>
                <w:rFonts w:ascii="Arial" w:hAnsi="Arial" w:cs="Arial"/>
              </w:rPr>
              <w:t xml:space="preserve"> </w:t>
            </w:r>
            <w:r w:rsidR="0055504B">
              <w:rPr>
                <w:rFonts w:ascii="Arial" w:hAnsi="Arial" w:cs="Arial"/>
              </w:rPr>
              <w:t>will be</w:t>
            </w:r>
            <w:r>
              <w:rPr>
                <w:rFonts w:ascii="Arial" w:hAnsi="Arial" w:cs="Arial"/>
              </w:rPr>
              <w:t xml:space="preserve"> required.</w:t>
            </w:r>
          </w:p>
        </w:tc>
      </w:tr>
      <w:tr w:rsidR="00F071F3" w:rsidTr="0075274E">
        <w:tc>
          <w:tcPr>
            <w:tcW w:w="2093" w:type="dxa"/>
          </w:tcPr>
          <w:p w:rsidRPr="0078720E" w:rsidR="00F071F3" w:rsidRDefault="00F071F3">
            <w:pPr>
              <w:jc w:val="both"/>
              <w:rPr>
                <w:rFonts w:ascii="Arial" w:hAnsi="Arial" w:cs="Arial"/>
                <w:b/>
              </w:rPr>
            </w:pPr>
            <w:r w:rsidRPr="00D227D3">
              <w:rPr>
                <w:rFonts w:ascii="Arial" w:hAnsi="Arial" w:cs="Arial"/>
                <w:b/>
              </w:rPr>
              <w:t>EPC</w:t>
            </w:r>
          </w:p>
        </w:tc>
        <w:tc>
          <w:tcPr>
            <w:tcW w:w="6763" w:type="dxa"/>
          </w:tcPr>
          <w:p w:rsidR="00F071F3" w:rsidP="00655003" w:rsidRDefault="00DF08AE">
            <w:pPr>
              <w:jc w:val="both"/>
              <w:rPr>
                <w:rFonts w:ascii="Arial" w:hAnsi="Arial" w:cs="Arial"/>
              </w:rPr>
            </w:pPr>
            <w:r>
              <w:rPr>
                <w:rFonts w:ascii="Arial" w:hAnsi="Arial" w:cs="Arial"/>
              </w:rPr>
              <w:t>TBC</w:t>
            </w:r>
          </w:p>
        </w:tc>
      </w:tr>
    </w:tbl>
    <w:p w:rsidR="00E06BA5" w:rsidP="0083255F" w:rsidRDefault="00E06BA5">
      <w:pPr>
        <w:pStyle w:val="Heading2"/>
        <w:rPr>
          <w:rFonts w:ascii="Arial" w:hAnsi="Arial" w:cs="Arial"/>
          <w:sz w:val="20"/>
        </w:rPr>
      </w:pPr>
      <w:r>
        <w:rPr>
          <w:rFonts w:ascii="Arial" w:hAnsi="Arial" w:cs="Arial"/>
          <w:sz w:val="20"/>
        </w:rPr>
        <w:t>FEES</w:t>
      </w:r>
      <w:r>
        <w:rPr>
          <w:rFonts w:ascii="Arial" w:hAnsi="Arial" w:cs="Arial"/>
          <w:sz w:val="20"/>
        </w:rPr>
        <w:tab/>
      </w:r>
      <w:r>
        <w:rPr>
          <w:rFonts w:ascii="Arial" w:hAnsi="Arial" w:cs="Arial"/>
          <w:sz w:val="20"/>
        </w:rPr>
        <w:tab/>
        <w:t xml:space="preserve">           </w:t>
      </w:r>
      <w:r w:rsidRPr="00E06BA5">
        <w:rPr>
          <w:rFonts w:ascii="Arial" w:hAnsi="Arial" w:cs="Arial"/>
          <w:b w:val="0"/>
          <w:sz w:val="20"/>
        </w:rPr>
        <w:t xml:space="preserve">Tenant to pay Council’s </w:t>
      </w:r>
      <w:r w:rsidRPr="00E06BA5" w:rsidR="00EE139F">
        <w:rPr>
          <w:rFonts w:ascii="Arial" w:hAnsi="Arial" w:cs="Arial"/>
          <w:b w:val="0"/>
          <w:sz w:val="20"/>
        </w:rPr>
        <w:t>reasonable legal/Surveyor fees</w:t>
      </w:r>
      <w:r w:rsidR="0083255F">
        <w:rPr>
          <w:rFonts w:ascii="Arial" w:hAnsi="Arial" w:cs="Arial"/>
          <w:b w:val="0"/>
          <w:sz w:val="20"/>
        </w:rPr>
        <w:t>.</w:t>
      </w:r>
    </w:p>
    <w:p w:rsidRPr="00F071F3" w:rsidR="00F071F3" w:rsidP="00F071F3" w:rsidRDefault="00F071F3"/>
    <w:p w:rsidR="00D72C9C" w:rsidRDefault="00D72C9C">
      <w:pPr>
        <w:pStyle w:val="Heading2"/>
        <w:rPr>
          <w:rFonts w:ascii="Arial" w:hAnsi="Arial" w:cs="Arial"/>
          <w:sz w:val="20"/>
        </w:rPr>
      </w:pPr>
      <w:r>
        <w:rPr>
          <w:rFonts w:ascii="Arial" w:hAnsi="Arial" w:cs="Arial"/>
          <w:sz w:val="20"/>
        </w:rPr>
        <w:t>VIEWING ARRANGEMENTS</w:t>
      </w:r>
    </w:p>
    <w:p w:rsidR="007E2520" w:rsidRDefault="00D72C9C">
      <w:pPr>
        <w:pStyle w:val="BodyText"/>
        <w:rPr>
          <w:rFonts w:ascii="Arial" w:hAnsi="Arial" w:cs="Arial"/>
          <w:bCs/>
          <w:sz w:val="20"/>
        </w:rPr>
      </w:pPr>
      <w:r>
        <w:rPr>
          <w:rFonts w:ascii="Arial" w:hAnsi="Arial" w:cs="Arial"/>
          <w:bCs/>
          <w:sz w:val="20"/>
        </w:rPr>
        <w:t>To arrange a viewing please contact:-</w:t>
      </w:r>
    </w:p>
    <w:p w:rsidR="00272FC7" w:rsidP="00272FC7" w:rsidRDefault="00D0368B">
      <w:pPr>
        <w:pStyle w:val="BodyText"/>
        <w:rPr>
          <w:rFonts w:ascii="Arial" w:hAnsi="Arial" w:cs="Arial"/>
          <w:sz w:val="20"/>
        </w:rPr>
      </w:pPr>
      <w:r>
        <w:rPr>
          <w:rFonts w:ascii="Arial" w:hAnsi="Arial" w:cs="Arial"/>
          <w:bCs/>
          <w:sz w:val="20"/>
        </w:rPr>
        <w:t>Christian Maduekwe on</w:t>
      </w:r>
      <w:r w:rsidR="00430782">
        <w:rPr>
          <w:rFonts w:ascii="Arial" w:hAnsi="Arial" w:cs="Arial"/>
          <w:bCs/>
          <w:sz w:val="20"/>
        </w:rPr>
        <w:t xml:space="preserve"> </w:t>
      </w:r>
      <w:r w:rsidR="00272FC7">
        <w:rPr>
          <w:rFonts w:ascii="Arial" w:hAnsi="Arial" w:cs="Arial"/>
          <w:sz w:val="20"/>
        </w:rPr>
        <w:t>Tel:  020 8207 7486</w:t>
      </w:r>
      <w:r w:rsidRPr="00272FC7" w:rsidR="00272FC7">
        <w:rPr>
          <w:rFonts w:ascii="Arial" w:hAnsi="Arial" w:cs="Arial"/>
          <w:sz w:val="20"/>
        </w:rPr>
        <w:t xml:space="preserve"> </w:t>
      </w:r>
      <w:r w:rsidR="00272FC7">
        <w:rPr>
          <w:rFonts w:ascii="Arial" w:hAnsi="Arial" w:cs="Arial"/>
          <w:sz w:val="20"/>
        </w:rPr>
        <w:t xml:space="preserve">Email: </w:t>
      </w:r>
      <w:r>
        <w:rPr>
          <w:rFonts w:ascii="Arial" w:hAnsi="Arial" w:cs="Arial"/>
          <w:sz w:val="20"/>
        </w:rPr>
        <w:t>christian</w:t>
      </w:r>
      <w:r w:rsidR="00272FC7">
        <w:rPr>
          <w:rFonts w:ascii="Arial" w:hAnsi="Arial" w:cs="Arial"/>
          <w:sz w:val="20"/>
        </w:rPr>
        <w:t>.</w:t>
      </w:r>
      <w:r>
        <w:rPr>
          <w:rFonts w:ascii="Arial" w:hAnsi="Arial" w:cs="Arial"/>
          <w:sz w:val="20"/>
        </w:rPr>
        <w:t>maduekwe</w:t>
      </w:r>
      <w:r w:rsidR="00272FC7">
        <w:rPr>
          <w:rFonts w:ascii="Arial" w:hAnsi="Arial" w:cs="Arial"/>
          <w:sz w:val="20"/>
        </w:rPr>
        <w:t>@hertsmere.gov.uk</w:t>
      </w:r>
    </w:p>
    <w:p w:rsidR="00E559CF" w:rsidRDefault="00E559CF">
      <w:pPr>
        <w:pStyle w:val="BodyText"/>
        <w:rPr>
          <w:rFonts w:ascii="Arial" w:hAnsi="Arial" w:cs="Arial"/>
          <w:sz w:val="20"/>
        </w:rPr>
      </w:pPr>
      <w:r>
        <w:rPr>
          <w:rFonts w:ascii="Arial" w:hAnsi="Arial" w:cs="Arial"/>
          <w:sz w:val="20"/>
        </w:rPr>
        <w:t>Asset Management</w:t>
      </w:r>
    </w:p>
    <w:p w:rsidR="00D72C9C" w:rsidRDefault="00D72C9C">
      <w:pPr>
        <w:pStyle w:val="BodyText"/>
        <w:rPr>
          <w:rFonts w:ascii="Arial" w:hAnsi="Arial" w:cs="Arial"/>
          <w:sz w:val="20"/>
        </w:rPr>
      </w:pPr>
      <w:r>
        <w:rPr>
          <w:rFonts w:ascii="Arial" w:hAnsi="Arial" w:cs="Arial"/>
          <w:sz w:val="20"/>
        </w:rPr>
        <w:t>Hertsmere Borough Council</w:t>
      </w:r>
    </w:p>
    <w:p w:rsidR="00D72C9C" w:rsidRDefault="00D72C9C">
      <w:pPr>
        <w:pStyle w:val="BodyText"/>
        <w:rPr>
          <w:rFonts w:ascii="Arial" w:hAnsi="Arial" w:cs="Arial"/>
          <w:sz w:val="20"/>
        </w:rPr>
      </w:pPr>
      <w:r>
        <w:rPr>
          <w:rFonts w:ascii="Arial" w:hAnsi="Arial" w:cs="Arial"/>
          <w:sz w:val="20"/>
        </w:rPr>
        <w:t>Civic Offices</w:t>
      </w:r>
      <w:r w:rsidR="00D227D3">
        <w:rPr>
          <w:rFonts w:ascii="Arial" w:hAnsi="Arial" w:cs="Arial"/>
          <w:sz w:val="20"/>
        </w:rPr>
        <w:t xml:space="preserve">, </w:t>
      </w:r>
      <w:r>
        <w:rPr>
          <w:rFonts w:ascii="Arial" w:hAnsi="Arial" w:cs="Arial"/>
          <w:sz w:val="20"/>
        </w:rPr>
        <w:t>Elstree Way</w:t>
      </w:r>
    </w:p>
    <w:p w:rsidR="00D72C9C" w:rsidRDefault="00D72C9C">
      <w:pPr>
        <w:pStyle w:val="BodyText"/>
        <w:rPr>
          <w:rFonts w:ascii="Arial" w:hAnsi="Arial" w:cs="Arial"/>
          <w:sz w:val="20"/>
        </w:rPr>
      </w:pPr>
      <w:r>
        <w:rPr>
          <w:rFonts w:ascii="Arial" w:hAnsi="Arial" w:cs="Arial"/>
          <w:sz w:val="20"/>
        </w:rPr>
        <w:t>Borehamwood</w:t>
      </w:r>
      <w:r w:rsidR="00D227D3">
        <w:rPr>
          <w:rFonts w:ascii="Arial" w:hAnsi="Arial" w:cs="Arial"/>
          <w:sz w:val="20"/>
        </w:rPr>
        <w:t xml:space="preserve">, </w:t>
      </w:r>
      <w:r>
        <w:rPr>
          <w:rFonts w:ascii="Arial" w:hAnsi="Arial" w:cs="Arial"/>
          <w:sz w:val="20"/>
        </w:rPr>
        <w:t>Hertfordshire</w:t>
      </w:r>
      <w:r w:rsidR="00655003">
        <w:rPr>
          <w:rFonts w:ascii="Arial" w:hAnsi="Arial" w:cs="Arial"/>
          <w:sz w:val="20"/>
        </w:rPr>
        <w:t>,</w:t>
      </w:r>
      <w:r>
        <w:rPr>
          <w:rFonts w:ascii="Arial" w:hAnsi="Arial" w:cs="Arial"/>
          <w:sz w:val="20"/>
        </w:rPr>
        <w:t>WD6 1WA</w:t>
      </w:r>
      <w:r w:rsidR="00D227D3">
        <w:rPr>
          <w:rFonts w:ascii="Arial" w:hAnsi="Arial" w:cs="Arial"/>
          <w:sz w:val="20"/>
        </w:rPr>
        <w:t>.</w:t>
      </w:r>
    </w:p>
    <w:p w:rsidR="00D227D3" w:rsidRDefault="00BC4510">
      <w:pPr>
        <w:pStyle w:val="BodyText"/>
        <w:rPr>
          <w:rFonts w:ascii="Arial" w:hAnsi="Arial" w:cs="Arial"/>
          <w:sz w:val="20"/>
        </w:rPr>
      </w:pPr>
      <w:r>
        <w:rPr>
          <w:noProof/>
          <w:lang w:eastAsia="en-GB"/>
        </w:rPr>
        <mc:AlternateContent>
          <mc:Choice Requires="wps">
            <w:drawing>
              <wp:anchor distT="0" distB="0" distL="114300" distR="114300" simplePos="0" relativeHeight="251657216" behindDoc="0" locked="0" layoutInCell="1" allowOverlap="1" wp14:editId="03C76E65" wp14:anchorId="71A5E176">
                <wp:simplePos x="0" y="0"/>
                <wp:positionH relativeFrom="column">
                  <wp:posOffset>-760730</wp:posOffset>
                </wp:positionH>
                <wp:positionV relativeFrom="paragraph">
                  <wp:posOffset>224790</wp:posOffset>
                </wp:positionV>
                <wp:extent cx="6734175" cy="704850"/>
                <wp:effectExtent l="0" t="0" r="9525"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4175" cy="704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26B23" w:rsidR="0078720E" w:rsidRDefault="0078720E">
                            <w:pPr>
                              <w:rPr>
                                <w:sz w:val="15"/>
                                <w:szCs w:val="15"/>
                              </w:rPr>
                            </w:pPr>
                            <w:r w:rsidRPr="00A26B23">
                              <w:rPr>
                                <w:rFonts w:ascii="Arial" w:hAnsi="Arial" w:cs="Arial"/>
                                <w:sz w:val="15"/>
                                <w:szCs w:val="15"/>
                              </w:rPr>
                              <w:t xml:space="preserve">The particulars are produced in good faith, but are a general guide only and do not constitute any part of a contract. (ii) No person in the employment of the agent(s) has any authority to make or give any representation or warranty whatsoever in relation to this property. (iii) The property is offered subject to contract and unless otherwise stated all rents are quoted exclusive of VAT. </w:t>
                            </w:r>
                            <w:proofErr w:type="gramStart"/>
                            <w:r w:rsidRPr="00A26B23">
                              <w:rPr>
                                <w:rFonts w:ascii="Arial" w:hAnsi="Arial" w:cs="Arial"/>
                                <w:sz w:val="15"/>
                                <w:szCs w:val="15"/>
                              </w:rPr>
                              <w:t>(iv) Nothing</w:t>
                            </w:r>
                            <w:proofErr w:type="gramEnd"/>
                            <w:r w:rsidRPr="00A26B23">
                              <w:rPr>
                                <w:rFonts w:ascii="Arial" w:hAnsi="Arial" w:cs="Arial"/>
                                <w:sz w:val="15"/>
                                <w:szCs w:val="15"/>
                              </w:rPr>
                              <w:t xml:space="preserve"> in these particulars should be deemed a statement that the property is in good condition, or that any services or facilities are in working order. (v) Unless otherwise stated, no investigations have been made regarding pollution, or potential land, air or water contamination. Interested parties are advised to carry out their own investigations if required.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style="position:absolute;left:0;text-align:left;margin-left:-59.9pt;margin-top:17.7pt;width:530.25pt;height:5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">
                <v:textbox>
                  <w:txbxContent>
                    <w:p w:rsidRPr="00A26B23" w:rsidR="0078720E" w:rsidRDefault="0078720E">
                      <w:pPr>
                        <w:rPr>
                          <w:sz w:val="15"/>
                          <w:szCs w:val="15"/>
                        </w:rPr>
                      </w:pPr>
                      <w:r w:rsidRPr="00A26B23">
                        <w:rPr>
                          <w:rFonts w:ascii="Arial" w:hAnsi="Arial" w:cs="Arial"/>
                          <w:sz w:val="15"/>
                          <w:szCs w:val="15"/>
                        </w:rPr>
                        <w:t xml:space="preserve">The particulars are produced in good faith, but are a general guide only and do not constitute any part of a contract. (ii) No person in the employment of the agent(s) has any authority to make or give any representation or warranty whatsoever in relation to this property. (iii) The property is offered subject to contract and unless otherwise stated all rents are quoted exclusive of VAT. </w:t>
                      </w:r>
                      <w:proofErr w:type="gramStart"/>
                      <w:r w:rsidRPr="00A26B23">
                        <w:rPr>
                          <w:rFonts w:ascii="Arial" w:hAnsi="Arial" w:cs="Arial"/>
                          <w:sz w:val="15"/>
                          <w:szCs w:val="15"/>
                        </w:rPr>
                        <w:t>(iv) Nothing</w:t>
                      </w:r>
                      <w:proofErr w:type="gramEnd"/>
                      <w:r w:rsidRPr="00A26B23">
                        <w:rPr>
                          <w:rFonts w:ascii="Arial" w:hAnsi="Arial" w:cs="Arial"/>
                          <w:sz w:val="15"/>
                          <w:szCs w:val="15"/>
                        </w:rPr>
                        <w:t xml:space="preserve"> in these particulars should be deemed a statement that the property is in good condition, or that any services or facilities are in working order. (v) Unless otherwise stated, no investigations have been made regarding pollution, or potential land, air or water contamination. Interested parties are advised to carry out their own investigations if required.</w:t>
                      </w:r>
                    </w:p>
                  </w:txbxContent>
                </v:textbox>
              </v:shape>
            </w:pict>
          </mc:Fallback>
        </mc:AlternateContent>
      </w:r>
    </w:p>
    <w:sectPr w:rsidR="00D227D3" w:rsidSect="00EA17A2">
      <w:headerReference w:type="default" r:id="rId9"/>
      <w:footerReference w:type="default" r:id="rId10"/>
      <w:pgSz w:w="12240" w:h="15840" w:code="1"/>
      <w:pgMar w:top="1440" w:right="1800" w:bottom="1440" w:left="1843" w:header="720" w:footer="720" w:gutter="0"/>
      <w:paperSrc w:first="2" w:other="2"/>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2393" w:rsidRDefault="00F52393">
      <w:r>
        <w:separator/>
      </w:r>
    </w:p>
  </w:endnote>
  <w:endnote w:type="continuationSeparator" w:id="0">
    <w:p w:rsidR="00F52393" w:rsidRDefault="00F523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C9C" w:rsidRDefault="00D72C9C">
    <w:pPr>
      <w:pStyle w:val="Footer"/>
      <w:jc w:val="right"/>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2393" w:rsidRDefault="00F52393">
      <w:r>
        <w:separator/>
      </w:r>
    </w:p>
  </w:footnote>
  <w:footnote w:type="continuationSeparator" w:id="0">
    <w:p w:rsidR="00F52393" w:rsidRDefault="00F523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C9C" w:rsidRDefault="00D72C9C">
    <w:pPr>
      <w:pStyle w:val="Header"/>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9CF"/>
    <w:rsid w:val="00000479"/>
    <w:rsid w:val="00014D3A"/>
    <w:rsid w:val="00044770"/>
    <w:rsid w:val="00073D89"/>
    <w:rsid w:val="00074DEB"/>
    <w:rsid w:val="000A333C"/>
    <w:rsid w:val="000A4E17"/>
    <w:rsid w:val="000E775C"/>
    <w:rsid w:val="000E78CD"/>
    <w:rsid w:val="000F1203"/>
    <w:rsid w:val="001111C7"/>
    <w:rsid w:val="00122A9D"/>
    <w:rsid w:val="00161145"/>
    <w:rsid w:val="001C7A7C"/>
    <w:rsid w:val="00215375"/>
    <w:rsid w:val="00221D3E"/>
    <w:rsid w:val="00272FC7"/>
    <w:rsid w:val="002833AE"/>
    <w:rsid w:val="00303C07"/>
    <w:rsid w:val="0031025A"/>
    <w:rsid w:val="0032276E"/>
    <w:rsid w:val="00390843"/>
    <w:rsid w:val="003910B7"/>
    <w:rsid w:val="003B4830"/>
    <w:rsid w:val="003D16C8"/>
    <w:rsid w:val="00430782"/>
    <w:rsid w:val="004320D3"/>
    <w:rsid w:val="00441E25"/>
    <w:rsid w:val="00475ACB"/>
    <w:rsid w:val="0049371B"/>
    <w:rsid w:val="004E2C2B"/>
    <w:rsid w:val="004E3CC5"/>
    <w:rsid w:val="004F5506"/>
    <w:rsid w:val="00533F70"/>
    <w:rsid w:val="0055504B"/>
    <w:rsid w:val="00565913"/>
    <w:rsid w:val="00574035"/>
    <w:rsid w:val="005A2034"/>
    <w:rsid w:val="005B3163"/>
    <w:rsid w:val="005E2AC6"/>
    <w:rsid w:val="005E6A55"/>
    <w:rsid w:val="005F5A1A"/>
    <w:rsid w:val="00605100"/>
    <w:rsid w:val="0062284B"/>
    <w:rsid w:val="00655003"/>
    <w:rsid w:val="00662884"/>
    <w:rsid w:val="00664A76"/>
    <w:rsid w:val="0066577D"/>
    <w:rsid w:val="00670D77"/>
    <w:rsid w:val="006E7E8E"/>
    <w:rsid w:val="006F62D6"/>
    <w:rsid w:val="00716530"/>
    <w:rsid w:val="0075274E"/>
    <w:rsid w:val="00774545"/>
    <w:rsid w:val="00774EBF"/>
    <w:rsid w:val="0078720E"/>
    <w:rsid w:val="00791C9F"/>
    <w:rsid w:val="007B0497"/>
    <w:rsid w:val="007B6E3D"/>
    <w:rsid w:val="007D076A"/>
    <w:rsid w:val="007E2520"/>
    <w:rsid w:val="007E4ED8"/>
    <w:rsid w:val="00806AB0"/>
    <w:rsid w:val="0083255F"/>
    <w:rsid w:val="008C4554"/>
    <w:rsid w:val="0092323E"/>
    <w:rsid w:val="00941446"/>
    <w:rsid w:val="00943791"/>
    <w:rsid w:val="00977BD3"/>
    <w:rsid w:val="00990ED8"/>
    <w:rsid w:val="00994241"/>
    <w:rsid w:val="009A5A04"/>
    <w:rsid w:val="009E51EB"/>
    <w:rsid w:val="00A10C9F"/>
    <w:rsid w:val="00A26B23"/>
    <w:rsid w:val="00A52660"/>
    <w:rsid w:val="00A53271"/>
    <w:rsid w:val="00A92F53"/>
    <w:rsid w:val="00A93CCC"/>
    <w:rsid w:val="00AA15B9"/>
    <w:rsid w:val="00AB5F83"/>
    <w:rsid w:val="00AD53B0"/>
    <w:rsid w:val="00B11197"/>
    <w:rsid w:val="00B254DC"/>
    <w:rsid w:val="00B30AF7"/>
    <w:rsid w:val="00B403EC"/>
    <w:rsid w:val="00BB3D60"/>
    <w:rsid w:val="00BC4510"/>
    <w:rsid w:val="00BC5A8C"/>
    <w:rsid w:val="00BD076C"/>
    <w:rsid w:val="00CA517A"/>
    <w:rsid w:val="00CA77B1"/>
    <w:rsid w:val="00D019A0"/>
    <w:rsid w:val="00D0368B"/>
    <w:rsid w:val="00D227D3"/>
    <w:rsid w:val="00D72C9C"/>
    <w:rsid w:val="00D84F21"/>
    <w:rsid w:val="00DF08AE"/>
    <w:rsid w:val="00DF22D7"/>
    <w:rsid w:val="00E0478C"/>
    <w:rsid w:val="00E061B4"/>
    <w:rsid w:val="00E06BA5"/>
    <w:rsid w:val="00E07996"/>
    <w:rsid w:val="00E254DC"/>
    <w:rsid w:val="00E559CF"/>
    <w:rsid w:val="00E70334"/>
    <w:rsid w:val="00E734B7"/>
    <w:rsid w:val="00EA17A2"/>
    <w:rsid w:val="00EA198B"/>
    <w:rsid w:val="00EA377C"/>
    <w:rsid w:val="00EB5137"/>
    <w:rsid w:val="00ED655A"/>
    <w:rsid w:val="00EE0072"/>
    <w:rsid w:val="00EE139F"/>
    <w:rsid w:val="00F029B1"/>
    <w:rsid w:val="00F04FA3"/>
    <w:rsid w:val="00F071F3"/>
    <w:rsid w:val="00F14B9A"/>
    <w:rsid w:val="00F231D6"/>
    <w:rsid w:val="00F35338"/>
    <w:rsid w:val="00F51273"/>
    <w:rsid w:val="00F52393"/>
    <w:rsid w:val="00F70E32"/>
    <w:rsid w:val="00F71808"/>
    <w:rsid w:val="00F75CC1"/>
    <w:rsid w:val="00FA27CA"/>
    <w:rsid w:val="00FB32DC"/>
    <w:rsid w:val="00FD59BC"/>
    <w:rsid w:val="00FE54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paragraph" w:styleId="Heading1">
    <w:name w:val="heading 1"/>
    <w:basedOn w:val="Normal"/>
    <w:next w:val="Normal"/>
    <w:qFormat/>
    <w:pPr>
      <w:keepNext/>
      <w:jc w:val="center"/>
      <w:outlineLvl w:val="0"/>
    </w:pPr>
    <w:rPr>
      <w:b/>
      <w:sz w:val="32"/>
    </w:rPr>
  </w:style>
  <w:style w:type="paragraph" w:styleId="Heading2">
    <w:name w:val="heading 2"/>
    <w:basedOn w:val="Normal"/>
    <w:next w:val="Normal"/>
    <w:qFormat/>
    <w:pPr>
      <w:keepNext/>
      <w:jc w:val="both"/>
      <w:outlineLvl w:val="1"/>
    </w:pPr>
    <w:rPr>
      <w:b/>
      <w:sz w:val="24"/>
    </w:rPr>
  </w:style>
  <w:style w:type="paragraph" w:styleId="Heading3">
    <w:name w:val="heading 3"/>
    <w:basedOn w:val="Normal"/>
    <w:next w:val="Normal"/>
    <w:link w:val="Heading3Char"/>
    <w:uiPriority w:val="9"/>
    <w:semiHidden/>
    <w:unhideWhenUsed/>
    <w:qFormat/>
    <w:rsid w:val="00664A7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both"/>
    </w:pPr>
    <w:rPr>
      <w:sz w:val="24"/>
    </w:rPr>
  </w:style>
  <w:style w:type="character" w:styleId="Hyperlink">
    <w:name w:val="Hyperlink"/>
    <w:semiHidden/>
    <w:rPr>
      <w:color w:val="0000FF"/>
      <w:u w:val="single"/>
    </w:rPr>
  </w:style>
  <w:style w:type="paragraph" w:styleId="BodyText2">
    <w:name w:val="Body Text 2"/>
    <w:basedOn w:val="Normal"/>
    <w:semiHidden/>
    <w:pPr>
      <w:jc w:val="center"/>
    </w:pPr>
    <w:rPr>
      <w:b/>
      <w:sz w:val="28"/>
    </w:rPr>
  </w:style>
  <w:style w:type="paragraph" w:styleId="Title">
    <w:name w:val="Title"/>
    <w:basedOn w:val="Normal"/>
    <w:qFormat/>
    <w:pPr>
      <w:jc w:val="center"/>
    </w:pPr>
    <w:rPr>
      <w:sz w:val="28"/>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customStyle="1" w:styleId="TableParagraph">
    <w:name w:val="Table Paragraph"/>
    <w:basedOn w:val="Normal"/>
    <w:uiPriority w:val="1"/>
    <w:qFormat/>
    <w:rsid w:val="00F04FA3"/>
    <w:pPr>
      <w:widowControl w:val="0"/>
      <w:spacing w:before="27"/>
    </w:pPr>
    <w:rPr>
      <w:rFonts w:ascii="Arial" w:eastAsia="Arial" w:hAnsi="Arial" w:cs="Arial"/>
      <w:sz w:val="22"/>
      <w:szCs w:val="22"/>
      <w:lang w:val="en-US"/>
    </w:rPr>
  </w:style>
  <w:style w:type="paragraph" w:styleId="BalloonText">
    <w:name w:val="Balloon Text"/>
    <w:basedOn w:val="Normal"/>
    <w:link w:val="BalloonTextChar"/>
    <w:uiPriority w:val="99"/>
    <w:semiHidden/>
    <w:unhideWhenUsed/>
    <w:rsid w:val="0078720E"/>
    <w:rPr>
      <w:rFonts w:ascii="Tahoma" w:hAnsi="Tahoma" w:cs="Tahoma"/>
      <w:sz w:val="16"/>
      <w:szCs w:val="16"/>
    </w:rPr>
  </w:style>
  <w:style w:type="character" w:customStyle="1" w:styleId="BalloonTextChar">
    <w:name w:val="Balloon Text Char"/>
    <w:link w:val="BalloonText"/>
    <w:uiPriority w:val="99"/>
    <w:semiHidden/>
    <w:rsid w:val="0078720E"/>
    <w:rPr>
      <w:rFonts w:ascii="Tahoma" w:hAnsi="Tahoma" w:cs="Tahoma"/>
      <w:sz w:val="16"/>
      <w:szCs w:val="16"/>
      <w:lang w:eastAsia="en-US"/>
    </w:rPr>
  </w:style>
  <w:style w:type="character" w:styleId="Emphasis">
    <w:name w:val="Emphasis"/>
    <w:basedOn w:val="DefaultParagraphFont"/>
    <w:uiPriority w:val="20"/>
    <w:qFormat/>
    <w:rsid w:val="00791C9F"/>
    <w:rPr>
      <w:i/>
      <w:iCs/>
    </w:rPr>
  </w:style>
  <w:style w:type="character" w:customStyle="1" w:styleId="apple-converted-space">
    <w:name w:val="apple-converted-space"/>
    <w:basedOn w:val="DefaultParagraphFont"/>
    <w:rsid w:val="00791C9F"/>
  </w:style>
  <w:style w:type="character" w:customStyle="1" w:styleId="Heading3Char">
    <w:name w:val="Heading 3 Char"/>
    <w:basedOn w:val="DefaultParagraphFont"/>
    <w:link w:val="Heading3"/>
    <w:uiPriority w:val="9"/>
    <w:semiHidden/>
    <w:rsid w:val="00664A76"/>
    <w:rPr>
      <w:rFonts w:asciiTheme="majorHAnsi" w:eastAsiaTheme="majorEastAsia" w:hAnsiTheme="majorHAnsi" w:cstheme="majorBidi"/>
      <w:b/>
      <w:bCs/>
      <w:color w:val="4F81BD" w:themeColor="accent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paragraph" w:styleId="Heading1">
    <w:name w:val="heading 1"/>
    <w:basedOn w:val="Normal"/>
    <w:next w:val="Normal"/>
    <w:qFormat/>
    <w:pPr>
      <w:keepNext/>
      <w:jc w:val="center"/>
      <w:outlineLvl w:val="0"/>
    </w:pPr>
    <w:rPr>
      <w:b/>
      <w:sz w:val="32"/>
    </w:rPr>
  </w:style>
  <w:style w:type="paragraph" w:styleId="Heading2">
    <w:name w:val="heading 2"/>
    <w:basedOn w:val="Normal"/>
    <w:next w:val="Normal"/>
    <w:qFormat/>
    <w:pPr>
      <w:keepNext/>
      <w:jc w:val="both"/>
      <w:outlineLvl w:val="1"/>
    </w:pPr>
    <w:rPr>
      <w:b/>
      <w:sz w:val="24"/>
    </w:rPr>
  </w:style>
  <w:style w:type="paragraph" w:styleId="Heading3">
    <w:name w:val="heading 3"/>
    <w:basedOn w:val="Normal"/>
    <w:next w:val="Normal"/>
    <w:link w:val="Heading3Char"/>
    <w:uiPriority w:val="9"/>
    <w:semiHidden/>
    <w:unhideWhenUsed/>
    <w:qFormat/>
    <w:rsid w:val="00664A7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both"/>
    </w:pPr>
    <w:rPr>
      <w:sz w:val="24"/>
    </w:rPr>
  </w:style>
  <w:style w:type="character" w:styleId="Hyperlink">
    <w:name w:val="Hyperlink"/>
    <w:semiHidden/>
    <w:rPr>
      <w:color w:val="0000FF"/>
      <w:u w:val="single"/>
    </w:rPr>
  </w:style>
  <w:style w:type="paragraph" w:styleId="BodyText2">
    <w:name w:val="Body Text 2"/>
    <w:basedOn w:val="Normal"/>
    <w:semiHidden/>
    <w:pPr>
      <w:jc w:val="center"/>
    </w:pPr>
    <w:rPr>
      <w:b/>
      <w:sz w:val="28"/>
    </w:rPr>
  </w:style>
  <w:style w:type="paragraph" w:styleId="Title">
    <w:name w:val="Title"/>
    <w:basedOn w:val="Normal"/>
    <w:qFormat/>
    <w:pPr>
      <w:jc w:val="center"/>
    </w:pPr>
    <w:rPr>
      <w:sz w:val="28"/>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customStyle="1" w:styleId="TableParagraph">
    <w:name w:val="Table Paragraph"/>
    <w:basedOn w:val="Normal"/>
    <w:uiPriority w:val="1"/>
    <w:qFormat/>
    <w:rsid w:val="00F04FA3"/>
    <w:pPr>
      <w:widowControl w:val="0"/>
      <w:spacing w:before="27"/>
    </w:pPr>
    <w:rPr>
      <w:rFonts w:ascii="Arial" w:eastAsia="Arial" w:hAnsi="Arial" w:cs="Arial"/>
      <w:sz w:val="22"/>
      <w:szCs w:val="22"/>
      <w:lang w:val="en-US"/>
    </w:rPr>
  </w:style>
  <w:style w:type="paragraph" w:styleId="BalloonText">
    <w:name w:val="Balloon Text"/>
    <w:basedOn w:val="Normal"/>
    <w:link w:val="BalloonTextChar"/>
    <w:uiPriority w:val="99"/>
    <w:semiHidden/>
    <w:unhideWhenUsed/>
    <w:rsid w:val="0078720E"/>
    <w:rPr>
      <w:rFonts w:ascii="Tahoma" w:hAnsi="Tahoma" w:cs="Tahoma"/>
      <w:sz w:val="16"/>
      <w:szCs w:val="16"/>
    </w:rPr>
  </w:style>
  <w:style w:type="character" w:customStyle="1" w:styleId="BalloonTextChar">
    <w:name w:val="Balloon Text Char"/>
    <w:link w:val="BalloonText"/>
    <w:uiPriority w:val="99"/>
    <w:semiHidden/>
    <w:rsid w:val="0078720E"/>
    <w:rPr>
      <w:rFonts w:ascii="Tahoma" w:hAnsi="Tahoma" w:cs="Tahoma"/>
      <w:sz w:val="16"/>
      <w:szCs w:val="16"/>
      <w:lang w:eastAsia="en-US"/>
    </w:rPr>
  </w:style>
  <w:style w:type="character" w:styleId="Emphasis">
    <w:name w:val="Emphasis"/>
    <w:basedOn w:val="DefaultParagraphFont"/>
    <w:uiPriority w:val="20"/>
    <w:qFormat/>
    <w:rsid w:val="00791C9F"/>
    <w:rPr>
      <w:i/>
      <w:iCs/>
    </w:rPr>
  </w:style>
  <w:style w:type="character" w:customStyle="1" w:styleId="apple-converted-space">
    <w:name w:val="apple-converted-space"/>
    <w:basedOn w:val="DefaultParagraphFont"/>
    <w:rsid w:val="00791C9F"/>
  </w:style>
  <w:style w:type="character" w:customStyle="1" w:styleId="Heading3Char">
    <w:name w:val="Heading 3 Char"/>
    <w:basedOn w:val="DefaultParagraphFont"/>
    <w:link w:val="Heading3"/>
    <w:uiPriority w:val="9"/>
    <w:semiHidden/>
    <w:rsid w:val="00664A76"/>
    <w:rPr>
      <w:rFonts w:asciiTheme="majorHAnsi" w:eastAsiaTheme="majorEastAsia" w:hAnsiTheme="majorHAnsi" w:cstheme="majorBidi"/>
      <w:b/>
      <w:bCs/>
      <w:color w:val="4F81BD" w:themeColor="accent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44839">
      <w:bodyDiv w:val="1"/>
      <w:marLeft w:val="0"/>
      <w:marRight w:val="0"/>
      <w:marTop w:val="0"/>
      <w:marBottom w:val="0"/>
      <w:divBdr>
        <w:top w:val="none" w:sz="0" w:space="0" w:color="auto"/>
        <w:left w:val="none" w:sz="0" w:space="0" w:color="auto"/>
        <w:bottom w:val="none" w:sz="0" w:space="0" w:color="auto"/>
        <w:right w:val="none" w:sz="0" w:space="0" w:color="auto"/>
      </w:divBdr>
    </w:div>
    <w:div w:id="109512812">
      <w:bodyDiv w:val="1"/>
      <w:marLeft w:val="0"/>
      <w:marRight w:val="0"/>
      <w:marTop w:val="0"/>
      <w:marBottom w:val="0"/>
      <w:divBdr>
        <w:top w:val="none" w:sz="0" w:space="0" w:color="auto"/>
        <w:left w:val="none" w:sz="0" w:space="0" w:color="auto"/>
        <w:bottom w:val="none" w:sz="0" w:space="0" w:color="auto"/>
        <w:right w:val="none" w:sz="0" w:space="0" w:color="auto"/>
      </w:divBdr>
    </w:div>
    <w:div w:id="170265495">
      <w:bodyDiv w:val="1"/>
      <w:marLeft w:val="0"/>
      <w:marRight w:val="0"/>
      <w:marTop w:val="0"/>
      <w:marBottom w:val="0"/>
      <w:divBdr>
        <w:top w:val="none" w:sz="0" w:space="0" w:color="auto"/>
        <w:left w:val="none" w:sz="0" w:space="0" w:color="auto"/>
        <w:bottom w:val="none" w:sz="0" w:space="0" w:color="auto"/>
        <w:right w:val="none" w:sz="0" w:space="0" w:color="auto"/>
      </w:divBdr>
    </w:div>
    <w:div w:id="333579286">
      <w:bodyDiv w:val="1"/>
      <w:marLeft w:val="0"/>
      <w:marRight w:val="0"/>
      <w:marTop w:val="0"/>
      <w:marBottom w:val="0"/>
      <w:divBdr>
        <w:top w:val="none" w:sz="0" w:space="0" w:color="auto"/>
        <w:left w:val="none" w:sz="0" w:space="0" w:color="auto"/>
        <w:bottom w:val="none" w:sz="0" w:space="0" w:color="auto"/>
        <w:right w:val="none" w:sz="0" w:space="0" w:color="auto"/>
      </w:divBdr>
    </w:div>
    <w:div w:id="361709257">
      <w:bodyDiv w:val="1"/>
      <w:marLeft w:val="0"/>
      <w:marRight w:val="0"/>
      <w:marTop w:val="0"/>
      <w:marBottom w:val="0"/>
      <w:divBdr>
        <w:top w:val="none" w:sz="0" w:space="0" w:color="auto"/>
        <w:left w:val="none" w:sz="0" w:space="0" w:color="auto"/>
        <w:bottom w:val="none" w:sz="0" w:space="0" w:color="auto"/>
        <w:right w:val="none" w:sz="0" w:space="0" w:color="auto"/>
      </w:divBdr>
    </w:div>
    <w:div w:id="720059666">
      <w:bodyDiv w:val="1"/>
      <w:marLeft w:val="0"/>
      <w:marRight w:val="0"/>
      <w:marTop w:val="0"/>
      <w:marBottom w:val="0"/>
      <w:divBdr>
        <w:top w:val="none" w:sz="0" w:space="0" w:color="auto"/>
        <w:left w:val="none" w:sz="0" w:space="0" w:color="auto"/>
        <w:bottom w:val="none" w:sz="0" w:space="0" w:color="auto"/>
        <w:right w:val="none" w:sz="0" w:space="0" w:color="auto"/>
      </w:divBdr>
    </w:div>
    <w:div w:id="750002307">
      <w:bodyDiv w:val="1"/>
      <w:marLeft w:val="0"/>
      <w:marRight w:val="0"/>
      <w:marTop w:val="0"/>
      <w:marBottom w:val="0"/>
      <w:divBdr>
        <w:top w:val="none" w:sz="0" w:space="0" w:color="auto"/>
        <w:left w:val="none" w:sz="0" w:space="0" w:color="auto"/>
        <w:bottom w:val="none" w:sz="0" w:space="0" w:color="auto"/>
        <w:right w:val="none" w:sz="0" w:space="0" w:color="auto"/>
      </w:divBdr>
    </w:div>
    <w:div w:id="757563240">
      <w:bodyDiv w:val="1"/>
      <w:marLeft w:val="0"/>
      <w:marRight w:val="0"/>
      <w:marTop w:val="0"/>
      <w:marBottom w:val="0"/>
      <w:divBdr>
        <w:top w:val="none" w:sz="0" w:space="0" w:color="auto"/>
        <w:left w:val="none" w:sz="0" w:space="0" w:color="auto"/>
        <w:bottom w:val="none" w:sz="0" w:space="0" w:color="auto"/>
        <w:right w:val="none" w:sz="0" w:space="0" w:color="auto"/>
      </w:divBdr>
    </w:div>
    <w:div w:id="766123980">
      <w:bodyDiv w:val="1"/>
      <w:marLeft w:val="0"/>
      <w:marRight w:val="0"/>
      <w:marTop w:val="0"/>
      <w:marBottom w:val="0"/>
      <w:divBdr>
        <w:top w:val="none" w:sz="0" w:space="0" w:color="auto"/>
        <w:left w:val="none" w:sz="0" w:space="0" w:color="auto"/>
        <w:bottom w:val="none" w:sz="0" w:space="0" w:color="auto"/>
        <w:right w:val="none" w:sz="0" w:space="0" w:color="auto"/>
      </w:divBdr>
    </w:div>
    <w:div w:id="873035884">
      <w:bodyDiv w:val="1"/>
      <w:marLeft w:val="0"/>
      <w:marRight w:val="0"/>
      <w:marTop w:val="0"/>
      <w:marBottom w:val="0"/>
      <w:divBdr>
        <w:top w:val="none" w:sz="0" w:space="0" w:color="auto"/>
        <w:left w:val="none" w:sz="0" w:space="0" w:color="auto"/>
        <w:bottom w:val="none" w:sz="0" w:space="0" w:color="auto"/>
        <w:right w:val="none" w:sz="0" w:space="0" w:color="auto"/>
      </w:divBdr>
    </w:div>
    <w:div w:id="1272937076">
      <w:bodyDiv w:val="1"/>
      <w:marLeft w:val="0"/>
      <w:marRight w:val="0"/>
      <w:marTop w:val="0"/>
      <w:marBottom w:val="0"/>
      <w:divBdr>
        <w:top w:val="none" w:sz="0" w:space="0" w:color="auto"/>
        <w:left w:val="none" w:sz="0" w:space="0" w:color="auto"/>
        <w:bottom w:val="none" w:sz="0" w:space="0" w:color="auto"/>
        <w:right w:val="none" w:sz="0" w:space="0" w:color="auto"/>
      </w:divBdr>
    </w:div>
    <w:div w:id="1350567674">
      <w:bodyDiv w:val="1"/>
      <w:marLeft w:val="0"/>
      <w:marRight w:val="0"/>
      <w:marTop w:val="0"/>
      <w:marBottom w:val="0"/>
      <w:divBdr>
        <w:top w:val="none" w:sz="0" w:space="0" w:color="auto"/>
        <w:left w:val="none" w:sz="0" w:space="0" w:color="auto"/>
        <w:bottom w:val="none" w:sz="0" w:space="0" w:color="auto"/>
        <w:right w:val="none" w:sz="0" w:space="0" w:color="auto"/>
      </w:divBdr>
    </w:div>
    <w:div w:id="1372922119">
      <w:bodyDiv w:val="1"/>
      <w:marLeft w:val="0"/>
      <w:marRight w:val="0"/>
      <w:marTop w:val="0"/>
      <w:marBottom w:val="0"/>
      <w:divBdr>
        <w:top w:val="none" w:sz="0" w:space="0" w:color="auto"/>
        <w:left w:val="none" w:sz="0" w:space="0" w:color="auto"/>
        <w:bottom w:val="none" w:sz="0" w:space="0" w:color="auto"/>
        <w:right w:val="none" w:sz="0" w:space="0" w:color="auto"/>
      </w:divBdr>
    </w:div>
    <w:div w:id="1401440790">
      <w:bodyDiv w:val="1"/>
      <w:marLeft w:val="0"/>
      <w:marRight w:val="0"/>
      <w:marTop w:val="0"/>
      <w:marBottom w:val="0"/>
      <w:divBdr>
        <w:top w:val="none" w:sz="0" w:space="0" w:color="auto"/>
        <w:left w:val="none" w:sz="0" w:space="0" w:color="auto"/>
        <w:bottom w:val="none" w:sz="0" w:space="0" w:color="auto"/>
        <w:right w:val="none" w:sz="0" w:space="0" w:color="auto"/>
      </w:divBdr>
    </w:div>
    <w:div w:id="1451120528">
      <w:bodyDiv w:val="1"/>
      <w:marLeft w:val="0"/>
      <w:marRight w:val="0"/>
      <w:marTop w:val="0"/>
      <w:marBottom w:val="0"/>
      <w:divBdr>
        <w:top w:val="none" w:sz="0" w:space="0" w:color="auto"/>
        <w:left w:val="none" w:sz="0" w:space="0" w:color="auto"/>
        <w:bottom w:val="none" w:sz="0" w:space="0" w:color="auto"/>
        <w:right w:val="none" w:sz="0" w:space="0" w:color="auto"/>
      </w:divBdr>
    </w:div>
    <w:div w:id="1461807160">
      <w:bodyDiv w:val="1"/>
      <w:marLeft w:val="0"/>
      <w:marRight w:val="0"/>
      <w:marTop w:val="0"/>
      <w:marBottom w:val="0"/>
      <w:divBdr>
        <w:top w:val="none" w:sz="0" w:space="0" w:color="auto"/>
        <w:left w:val="none" w:sz="0" w:space="0" w:color="auto"/>
        <w:bottom w:val="none" w:sz="0" w:space="0" w:color="auto"/>
        <w:right w:val="none" w:sz="0" w:space="0" w:color="auto"/>
      </w:divBdr>
    </w:div>
    <w:div w:id="1469323707">
      <w:bodyDiv w:val="1"/>
      <w:marLeft w:val="0"/>
      <w:marRight w:val="0"/>
      <w:marTop w:val="0"/>
      <w:marBottom w:val="0"/>
      <w:divBdr>
        <w:top w:val="none" w:sz="0" w:space="0" w:color="auto"/>
        <w:left w:val="none" w:sz="0" w:space="0" w:color="auto"/>
        <w:bottom w:val="none" w:sz="0" w:space="0" w:color="auto"/>
        <w:right w:val="none" w:sz="0" w:space="0" w:color="auto"/>
      </w:divBdr>
    </w:div>
    <w:div w:id="1498037059">
      <w:bodyDiv w:val="1"/>
      <w:marLeft w:val="0"/>
      <w:marRight w:val="0"/>
      <w:marTop w:val="0"/>
      <w:marBottom w:val="0"/>
      <w:divBdr>
        <w:top w:val="none" w:sz="0" w:space="0" w:color="auto"/>
        <w:left w:val="none" w:sz="0" w:space="0" w:color="auto"/>
        <w:bottom w:val="none" w:sz="0" w:space="0" w:color="auto"/>
        <w:right w:val="none" w:sz="0" w:space="0" w:color="auto"/>
      </w:divBdr>
    </w:div>
    <w:div w:id="1578780630">
      <w:bodyDiv w:val="1"/>
      <w:marLeft w:val="0"/>
      <w:marRight w:val="0"/>
      <w:marTop w:val="0"/>
      <w:marBottom w:val="0"/>
      <w:divBdr>
        <w:top w:val="none" w:sz="0" w:space="0" w:color="auto"/>
        <w:left w:val="none" w:sz="0" w:space="0" w:color="auto"/>
        <w:bottom w:val="none" w:sz="0" w:space="0" w:color="auto"/>
        <w:right w:val="none" w:sz="0" w:space="0" w:color="auto"/>
      </w:divBdr>
    </w:div>
    <w:div w:id="1609459485">
      <w:bodyDiv w:val="1"/>
      <w:marLeft w:val="0"/>
      <w:marRight w:val="0"/>
      <w:marTop w:val="0"/>
      <w:marBottom w:val="0"/>
      <w:divBdr>
        <w:top w:val="none" w:sz="0" w:space="0" w:color="auto"/>
        <w:left w:val="none" w:sz="0" w:space="0" w:color="auto"/>
        <w:bottom w:val="none" w:sz="0" w:space="0" w:color="auto"/>
        <w:right w:val="none" w:sz="0" w:space="0" w:color="auto"/>
      </w:divBdr>
    </w:div>
    <w:div w:id="1700083460">
      <w:bodyDiv w:val="1"/>
      <w:marLeft w:val="0"/>
      <w:marRight w:val="0"/>
      <w:marTop w:val="0"/>
      <w:marBottom w:val="0"/>
      <w:divBdr>
        <w:top w:val="none" w:sz="0" w:space="0" w:color="auto"/>
        <w:left w:val="none" w:sz="0" w:space="0" w:color="auto"/>
        <w:bottom w:val="none" w:sz="0" w:space="0" w:color="auto"/>
        <w:right w:val="none" w:sz="0" w:space="0" w:color="auto"/>
      </w:divBdr>
    </w:div>
    <w:div w:id="1700622313">
      <w:bodyDiv w:val="1"/>
      <w:marLeft w:val="0"/>
      <w:marRight w:val="0"/>
      <w:marTop w:val="0"/>
      <w:marBottom w:val="0"/>
      <w:divBdr>
        <w:top w:val="none" w:sz="0" w:space="0" w:color="auto"/>
        <w:left w:val="none" w:sz="0" w:space="0" w:color="auto"/>
        <w:bottom w:val="none" w:sz="0" w:space="0" w:color="auto"/>
        <w:right w:val="none" w:sz="0" w:space="0" w:color="auto"/>
      </w:divBdr>
    </w:div>
    <w:div w:id="1708487861">
      <w:bodyDiv w:val="1"/>
      <w:marLeft w:val="0"/>
      <w:marRight w:val="0"/>
      <w:marTop w:val="0"/>
      <w:marBottom w:val="0"/>
      <w:divBdr>
        <w:top w:val="none" w:sz="0" w:space="0" w:color="auto"/>
        <w:left w:val="none" w:sz="0" w:space="0" w:color="auto"/>
        <w:bottom w:val="none" w:sz="0" w:space="0" w:color="auto"/>
        <w:right w:val="none" w:sz="0" w:space="0" w:color="auto"/>
      </w:divBdr>
    </w:div>
    <w:div w:id="1795905095">
      <w:bodyDiv w:val="1"/>
      <w:marLeft w:val="0"/>
      <w:marRight w:val="0"/>
      <w:marTop w:val="0"/>
      <w:marBottom w:val="0"/>
      <w:divBdr>
        <w:top w:val="none" w:sz="0" w:space="0" w:color="auto"/>
        <w:left w:val="none" w:sz="0" w:space="0" w:color="auto"/>
        <w:bottom w:val="none" w:sz="0" w:space="0" w:color="auto"/>
        <w:right w:val="none" w:sz="0" w:space="0" w:color="auto"/>
      </w:divBdr>
    </w:div>
    <w:div w:id="1821118654">
      <w:bodyDiv w:val="1"/>
      <w:marLeft w:val="0"/>
      <w:marRight w:val="0"/>
      <w:marTop w:val="0"/>
      <w:marBottom w:val="0"/>
      <w:divBdr>
        <w:top w:val="none" w:sz="0" w:space="0" w:color="auto"/>
        <w:left w:val="none" w:sz="0" w:space="0" w:color="auto"/>
        <w:bottom w:val="none" w:sz="0" w:space="0" w:color="auto"/>
        <w:right w:val="none" w:sz="0" w:space="0" w:color="auto"/>
      </w:divBdr>
    </w:div>
    <w:div w:id="1853572120">
      <w:bodyDiv w:val="1"/>
      <w:marLeft w:val="0"/>
      <w:marRight w:val="0"/>
      <w:marTop w:val="0"/>
      <w:marBottom w:val="0"/>
      <w:divBdr>
        <w:top w:val="none" w:sz="0" w:space="0" w:color="auto"/>
        <w:left w:val="none" w:sz="0" w:space="0" w:color="auto"/>
        <w:bottom w:val="none" w:sz="0" w:space="0" w:color="auto"/>
        <w:right w:val="none" w:sz="0" w:space="0" w:color="auto"/>
      </w:divBdr>
    </w:div>
    <w:div w:id="1949117551">
      <w:bodyDiv w:val="1"/>
      <w:marLeft w:val="0"/>
      <w:marRight w:val="0"/>
      <w:marTop w:val="0"/>
      <w:marBottom w:val="0"/>
      <w:divBdr>
        <w:top w:val="none" w:sz="0" w:space="0" w:color="auto"/>
        <w:left w:val="none" w:sz="0" w:space="0" w:color="auto"/>
        <w:bottom w:val="none" w:sz="0" w:space="0" w:color="auto"/>
        <w:right w:val="none" w:sz="0" w:space="0" w:color="auto"/>
      </w:divBdr>
    </w:div>
    <w:div w:id="1957830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243E7B-DBE4-4C57-8F56-45A958CE0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23A382F2</Template>
  <TotalTime>0</TotalTime>
  <Pages>2</Pages>
  <Words>429</Words>
  <Characters>2455</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107/107a HARTFORDE ROAD</vt:lpstr>
    </vt:vector>
  </TitlesOfParts>
  <Company>Hertsmere Borough Council</Company>
  <LinksUpToDate>false</LinksUpToDate>
  <CharactersWithSpaces>2879</CharactersWithSpaces>
  <SharedDoc>false</SharedDoc>
  <HLinks>
    <vt:vector size="6" baseType="variant">
      <vt:variant>
        <vt:i4>2228233</vt:i4>
      </vt:variant>
      <vt:variant>
        <vt:i4>0</vt:i4>
      </vt:variant>
      <vt:variant>
        <vt:i4>0</vt:i4>
      </vt:variant>
      <vt:variant>
        <vt:i4>5</vt:i4>
      </vt:variant>
      <vt:variant>
        <vt:lpwstr>mailto:matthew.allanson@hertsmere.gov.uk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 Leeming Road</dc:title>
  <dc:creator>Robert Ambler</dc:creator>
  <cp:lastModifiedBy>Colin Tester</cp:lastModifiedBy>
  <cp:revision>2</cp:revision>
  <cp:lastPrinted>2018-09-03T09:54:00Z</cp:lastPrinted>
  <dcterms:created xsi:type="dcterms:W3CDTF">2018-09-03T09:56:00Z</dcterms:created>
  <dcterms:modified xsi:type="dcterms:W3CDTF">2018-09-04T15:10:43Z</dcterms:modified>
  <cp:keywords>
  </cp:keywords>
  <dc:subject>
  </dc:subject>
</cp:coreProperties>
</file>