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12301F" w:rsidR="00695D5A" w:rsidP="00695D5A" w:rsidRDefault="00695D5A">
      <w:pPr>
        <w:pStyle w:val="ListParagraph"/>
        <w:ind w:left="0"/>
        <w:jc w:val="both"/>
        <w:rPr>
          <w:rFonts w:cs="Arial"/>
          <w:b/>
        </w:rPr>
      </w:pPr>
      <w:bookmarkStart w:name="_GoBack" w:id="0"/>
      <w:bookmarkEnd w:id="0"/>
      <w:r w:rsidRPr="0012301F">
        <w:rPr>
          <w:rFonts w:cs="Arial"/>
          <w:b/>
        </w:rPr>
        <w:t>Hertsmere Borough Council Gender Pay Gap Report</w:t>
      </w:r>
      <w:r w:rsidR="00E41308">
        <w:rPr>
          <w:rFonts w:cs="Arial"/>
          <w:b/>
        </w:rPr>
        <w:t xml:space="preserve"> 2022</w:t>
      </w:r>
    </w:p>
    <w:p w:rsidRPr="0012301F" w:rsidR="00695D5A" w:rsidP="00695D5A" w:rsidRDefault="00695D5A">
      <w:pPr>
        <w:pStyle w:val="ListParagraph"/>
        <w:ind w:left="0"/>
        <w:jc w:val="both"/>
        <w:rPr>
          <w:rFonts w:cs="Arial"/>
          <w:b/>
        </w:rPr>
      </w:pPr>
    </w:p>
    <w:p w:rsidRPr="0012301F" w:rsidR="00695D5A" w:rsidP="00695D5A" w:rsidRDefault="00695D5A">
      <w:pPr>
        <w:spacing w:after="0" w:line="240" w:lineRule="auto"/>
        <w:rPr>
          <w:rFonts w:ascii="Arial" w:hAnsi="Arial" w:cs="Arial"/>
          <w:sz w:val="24"/>
          <w:szCs w:val="24"/>
        </w:rPr>
      </w:pPr>
      <w:r>
        <w:rPr>
          <w:rFonts w:ascii="Arial" w:hAnsi="Arial" w:cs="Arial"/>
          <w:sz w:val="24"/>
          <w:szCs w:val="24"/>
        </w:rPr>
        <w:t>Hertsmere Borough Council is required to publish information about its Gender Pay Gap in accordance with the</w:t>
      </w:r>
      <w:r w:rsidRPr="0012301F">
        <w:rPr>
          <w:rFonts w:ascii="Arial" w:hAnsi="Arial" w:cs="Arial"/>
          <w:sz w:val="24"/>
          <w:szCs w:val="24"/>
        </w:rPr>
        <w:t xml:space="preserve"> Public Sector Equality Duty</w:t>
      </w:r>
      <w:r>
        <w:rPr>
          <w:rFonts w:ascii="Arial" w:hAnsi="Arial" w:cs="Arial"/>
          <w:sz w:val="24"/>
          <w:szCs w:val="24"/>
        </w:rPr>
        <w:t xml:space="preserve"> on an annual basis.  The statistics required include the </w:t>
      </w:r>
      <w:r w:rsidRPr="0012301F">
        <w:rPr>
          <w:rFonts w:ascii="Arial" w:hAnsi="Arial" w:cs="Arial"/>
          <w:sz w:val="24"/>
          <w:szCs w:val="24"/>
        </w:rPr>
        <w:t xml:space="preserve">mean and median gender pay gaps; the mean and median gender bonus gaps; the proportion of men and women who received bonuses; and the proportions of male and female employees in each pay quartile. </w:t>
      </w:r>
    </w:p>
    <w:p w:rsidRPr="0012301F" w:rsidR="00695D5A" w:rsidP="00695D5A" w:rsidRDefault="00695D5A">
      <w:pPr>
        <w:spacing w:after="0" w:line="240" w:lineRule="auto"/>
        <w:rPr>
          <w:rFonts w:ascii="Arial" w:hAnsi="Arial" w:cs="Arial"/>
          <w:sz w:val="24"/>
          <w:szCs w:val="24"/>
        </w:rPr>
      </w:pPr>
    </w:p>
    <w:p w:rsidRPr="0012301F" w:rsidR="00695D5A" w:rsidP="00695D5A" w:rsidRDefault="00695D5A">
      <w:pPr>
        <w:spacing w:after="0" w:line="240" w:lineRule="auto"/>
        <w:rPr>
          <w:rFonts w:ascii="Arial" w:hAnsi="Arial" w:cs="Arial"/>
          <w:b/>
          <w:bCs/>
          <w:sz w:val="24"/>
          <w:szCs w:val="24"/>
        </w:rPr>
      </w:pPr>
      <w:r w:rsidRPr="0012301F">
        <w:rPr>
          <w:rFonts w:ascii="Arial" w:hAnsi="Arial" w:cs="Arial"/>
          <w:sz w:val="24"/>
          <w:szCs w:val="24"/>
        </w:rPr>
        <w:t>The gender pay gap shows the difference in the average hourly pay between all men and women in a workforce. If a workforce has a particularly high gender pay gap, this can indicate there may be a number of issues to deal with. The gender pay gap is different to equal pay. Equal pay deals with the pay differences between men and women who carry out the same jobs, similar jobs or work of equal value. It is unlawful to pay people unequally because they are a man or a woman.</w:t>
      </w:r>
    </w:p>
    <w:p w:rsidRPr="0012301F" w:rsidR="00695D5A" w:rsidP="00695D5A" w:rsidRDefault="00695D5A">
      <w:pPr>
        <w:spacing w:after="0" w:line="240" w:lineRule="auto"/>
        <w:jc w:val="both"/>
        <w:rPr>
          <w:rFonts w:ascii="Arial" w:hAnsi="Arial" w:cs="Arial"/>
          <w:b/>
          <w:sz w:val="24"/>
          <w:szCs w:val="24"/>
        </w:rPr>
      </w:pPr>
    </w:p>
    <w:p w:rsidRPr="00695D5A" w:rsidR="00695D5A" w:rsidP="00695D5A" w:rsidRDefault="00695D5A">
      <w:pPr>
        <w:spacing w:after="0" w:line="240" w:lineRule="auto"/>
        <w:ind w:left="720" w:hanging="720"/>
        <w:jc w:val="both"/>
        <w:rPr>
          <w:rFonts w:ascii="Arial" w:hAnsi="Arial" w:cs="Arial"/>
          <w:b/>
          <w:sz w:val="24"/>
          <w:szCs w:val="24"/>
        </w:rPr>
      </w:pPr>
      <w:r w:rsidRPr="0012301F">
        <w:rPr>
          <w:rFonts w:ascii="Arial" w:hAnsi="Arial" w:cs="Arial"/>
          <w:sz w:val="24"/>
          <w:szCs w:val="24"/>
        </w:rPr>
        <w:t xml:space="preserve">Hertsmere Borough Council’s gender pay gap report as at the snapshot date of </w:t>
      </w:r>
      <w:r w:rsidRPr="00695D5A">
        <w:rPr>
          <w:rFonts w:ascii="Arial" w:hAnsi="Arial" w:cs="Arial"/>
          <w:b/>
          <w:sz w:val="24"/>
          <w:szCs w:val="24"/>
        </w:rPr>
        <w:t xml:space="preserve">31 </w:t>
      </w:r>
    </w:p>
    <w:p w:rsidR="00695D5A" w:rsidP="00695D5A" w:rsidRDefault="00E41308">
      <w:pPr>
        <w:spacing w:after="0" w:line="240" w:lineRule="auto"/>
        <w:ind w:left="720" w:hanging="720"/>
        <w:jc w:val="both"/>
        <w:rPr>
          <w:rFonts w:ascii="Arial" w:hAnsi="Arial" w:cs="Arial"/>
          <w:sz w:val="24"/>
          <w:szCs w:val="24"/>
        </w:rPr>
      </w:pPr>
      <w:r>
        <w:rPr>
          <w:rFonts w:ascii="Arial" w:hAnsi="Arial" w:cs="Arial"/>
          <w:b/>
          <w:sz w:val="24"/>
          <w:szCs w:val="24"/>
        </w:rPr>
        <w:t>March 2022</w:t>
      </w:r>
      <w:r w:rsidRPr="0012301F" w:rsidR="00695D5A">
        <w:rPr>
          <w:rFonts w:ascii="Arial" w:hAnsi="Arial" w:cs="Arial"/>
          <w:sz w:val="24"/>
          <w:szCs w:val="24"/>
        </w:rPr>
        <w:t xml:space="preserve"> is below:</w:t>
      </w:r>
    </w:p>
    <w:p w:rsidR="00695D5A" w:rsidP="00695D5A" w:rsidRDefault="00695D5A">
      <w:pPr>
        <w:spacing w:after="0" w:line="240" w:lineRule="auto"/>
        <w:ind w:left="720" w:hanging="720"/>
        <w:jc w:val="both"/>
        <w:rPr>
          <w:rFonts w:ascii="Arial" w:hAnsi="Arial" w:cs="Arial"/>
          <w:sz w:val="24"/>
          <w:szCs w:val="24"/>
        </w:rPr>
      </w:pPr>
    </w:p>
    <w:p w:rsidR="00695D5A" w:rsidP="00695D5A" w:rsidRDefault="00695D5A">
      <w:pPr>
        <w:spacing w:after="0" w:line="240" w:lineRule="auto"/>
        <w:ind w:left="720" w:hanging="720"/>
        <w:jc w:val="both"/>
        <w:rPr>
          <w:rFonts w:ascii="Arial" w:hAnsi="Arial" w:cs="Arial"/>
          <w:b/>
          <w:sz w:val="24"/>
          <w:szCs w:val="24"/>
        </w:rPr>
      </w:pPr>
      <w:r>
        <w:rPr>
          <w:rFonts w:ascii="Arial" w:hAnsi="Arial" w:cs="Arial"/>
          <w:b/>
          <w:sz w:val="24"/>
          <w:szCs w:val="24"/>
        </w:rPr>
        <w:t>Median</w:t>
      </w:r>
      <w:r w:rsidRPr="00250BC4">
        <w:rPr>
          <w:rFonts w:ascii="Arial" w:hAnsi="Arial" w:cs="Arial"/>
          <w:b/>
          <w:sz w:val="24"/>
          <w:szCs w:val="24"/>
        </w:rPr>
        <w:t xml:space="preserve"> and Mean Gender Pay Gap of</w:t>
      </w:r>
      <w:r w:rsidRPr="00250BC4">
        <w:rPr>
          <w:rFonts w:ascii="Arial" w:hAnsi="Arial" w:cs="Arial"/>
          <w:sz w:val="24"/>
          <w:szCs w:val="24"/>
        </w:rPr>
        <w:t xml:space="preserve"> </w:t>
      </w:r>
      <w:r w:rsidRPr="00250BC4">
        <w:rPr>
          <w:rFonts w:ascii="Arial" w:hAnsi="Arial" w:cs="Arial"/>
          <w:b/>
          <w:sz w:val="24"/>
          <w:szCs w:val="24"/>
        </w:rPr>
        <w:t>Hourly Pay Rate</w:t>
      </w:r>
    </w:p>
    <w:p w:rsidR="00695D5A" w:rsidP="00695D5A" w:rsidRDefault="00695D5A">
      <w:pPr>
        <w:spacing w:after="0" w:line="240" w:lineRule="auto"/>
        <w:ind w:left="720" w:hanging="720"/>
        <w:jc w:val="both"/>
        <w:rPr>
          <w:rFonts w:ascii="Arial" w:hAnsi="Arial" w:cs="Arial"/>
          <w:b/>
          <w:sz w:val="24"/>
          <w:szCs w:val="24"/>
        </w:rPr>
      </w:pPr>
    </w:p>
    <w:tbl>
      <w:tblPr>
        <w:tblStyle w:val="TableGrid"/>
        <w:tblW w:w="0" w:type="auto"/>
        <w:tblInd w:w="-5" w:type="dxa"/>
        <w:tblLook w:val="04A0" w:firstRow="1" w:lastRow="0" w:firstColumn="1" w:lastColumn="0" w:noHBand="0" w:noVBand="1"/>
      </w:tblPr>
      <w:tblGrid>
        <w:gridCol w:w="1503"/>
        <w:gridCol w:w="1504"/>
        <w:gridCol w:w="1503"/>
        <w:gridCol w:w="1504"/>
        <w:gridCol w:w="1503"/>
        <w:gridCol w:w="1504"/>
      </w:tblGrid>
      <w:tr w:rsidR="00695D5A" w:rsidTr="00695D5A">
        <w:tc>
          <w:tcPr>
            <w:tcW w:w="1503" w:type="dxa"/>
          </w:tcPr>
          <w:p w:rsidRPr="00695D5A" w:rsidR="00695D5A" w:rsidP="00695D5A" w:rsidRDefault="00695D5A">
            <w:pPr>
              <w:spacing w:after="0" w:line="240" w:lineRule="auto"/>
              <w:jc w:val="both"/>
              <w:rPr>
                <w:rFonts w:ascii="Arial" w:hAnsi="Arial" w:cs="Arial"/>
                <w:sz w:val="24"/>
                <w:szCs w:val="24"/>
              </w:rPr>
            </w:pPr>
            <w:r w:rsidRPr="00695D5A">
              <w:rPr>
                <w:rFonts w:ascii="Arial" w:hAnsi="Arial" w:cs="Arial"/>
                <w:sz w:val="24"/>
                <w:szCs w:val="24"/>
              </w:rPr>
              <w:t>Mean for male</w:t>
            </w:r>
          </w:p>
        </w:tc>
        <w:tc>
          <w:tcPr>
            <w:tcW w:w="1504" w:type="dxa"/>
          </w:tcPr>
          <w:p w:rsidRPr="00695D5A" w:rsidR="00695D5A" w:rsidP="00695D5A" w:rsidRDefault="00E41308">
            <w:pPr>
              <w:spacing w:after="0" w:line="240" w:lineRule="auto"/>
              <w:jc w:val="both"/>
              <w:rPr>
                <w:rFonts w:ascii="Arial" w:hAnsi="Arial" w:cs="Arial"/>
                <w:sz w:val="24"/>
                <w:szCs w:val="24"/>
              </w:rPr>
            </w:pPr>
            <w:r>
              <w:rPr>
                <w:rFonts w:ascii="Arial" w:hAnsi="Arial" w:cs="Arial"/>
                <w:sz w:val="24"/>
                <w:szCs w:val="24"/>
              </w:rPr>
              <w:t>17.91</w:t>
            </w:r>
          </w:p>
        </w:tc>
        <w:tc>
          <w:tcPr>
            <w:tcW w:w="1503" w:type="dxa"/>
          </w:tcPr>
          <w:p w:rsidRPr="00695D5A" w:rsidR="00695D5A" w:rsidP="00695D5A" w:rsidRDefault="00695D5A">
            <w:pPr>
              <w:spacing w:after="0" w:line="240" w:lineRule="auto"/>
              <w:jc w:val="both"/>
              <w:rPr>
                <w:rFonts w:ascii="Arial" w:hAnsi="Arial" w:cs="Arial"/>
                <w:sz w:val="24"/>
                <w:szCs w:val="24"/>
              </w:rPr>
            </w:pPr>
            <w:r w:rsidRPr="00695D5A">
              <w:rPr>
                <w:rFonts w:ascii="Arial" w:hAnsi="Arial" w:cs="Arial"/>
                <w:sz w:val="24"/>
                <w:szCs w:val="24"/>
              </w:rPr>
              <w:t>Mean for female</w:t>
            </w:r>
          </w:p>
        </w:tc>
        <w:tc>
          <w:tcPr>
            <w:tcW w:w="1504" w:type="dxa"/>
          </w:tcPr>
          <w:p w:rsidRPr="00695D5A" w:rsidR="00695D5A" w:rsidP="00695D5A" w:rsidRDefault="00E41308">
            <w:pPr>
              <w:spacing w:after="0" w:line="240" w:lineRule="auto"/>
              <w:jc w:val="both"/>
              <w:rPr>
                <w:rFonts w:ascii="Arial" w:hAnsi="Arial" w:cs="Arial"/>
                <w:sz w:val="24"/>
                <w:szCs w:val="24"/>
              </w:rPr>
            </w:pPr>
            <w:r>
              <w:rPr>
                <w:rFonts w:ascii="Arial" w:hAnsi="Arial" w:cs="Arial"/>
                <w:sz w:val="24"/>
                <w:szCs w:val="24"/>
              </w:rPr>
              <w:t>18.50</w:t>
            </w:r>
          </w:p>
        </w:tc>
        <w:tc>
          <w:tcPr>
            <w:tcW w:w="1503" w:type="dxa"/>
          </w:tcPr>
          <w:p w:rsidRPr="00695D5A" w:rsidR="00695D5A" w:rsidP="00695D5A" w:rsidRDefault="00695D5A">
            <w:pPr>
              <w:spacing w:after="0" w:line="240" w:lineRule="auto"/>
              <w:jc w:val="both"/>
              <w:rPr>
                <w:rFonts w:ascii="Arial" w:hAnsi="Arial" w:cs="Arial"/>
                <w:sz w:val="24"/>
                <w:szCs w:val="24"/>
              </w:rPr>
            </w:pPr>
            <w:r w:rsidRPr="00695D5A">
              <w:rPr>
                <w:rFonts w:ascii="Arial" w:hAnsi="Arial" w:cs="Arial"/>
                <w:sz w:val="24"/>
                <w:szCs w:val="24"/>
              </w:rPr>
              <w:t>Mean gender pay gap</w:t>
            </w:r>
          </w:p>
        </w:tc>
        <w:tc>
          <w:tcPr>
            <w:tcW w:w="1504" w:type="dxa"/>
          </w:tcPr>
          <w:p w:rsidRPr="00695D5A" w:rsidR="00695D5A" w:rsidP="00695D5A" w:rsidRDefault="00E41308">
            <w:pPr>
              <w:spacing w:after="0" w:line="240" w:lineRule="auto"/>
              <w:jc w:val="both"/>
              <w:rPr>
                <w:rFonts w:ascii="Arial" w:hAnsi="Arial" w:cs="Arial"/>
                <w:sz w:val="24"/>
                <w:szCs w:val="24"/>
              </w:rPr>
            </w:pPr>
            <w:r>
              <w:rPr>
                <w:rFonts w:ascii="Arial" w:hAnsi="Arial" w:cs="Arial"/>
                <w:sz w:val="24"/>
                <w:szCs w:val="24"/>
              </w:rPr>
              <w:t>-3.26%</w:t>
            </w:r>
          </w:p>
        </w:tc>
      </w:tr>
      <w:tr w:rsidR="00695D5A" w:rsidTr="00695D5A">
        <w:tc>
          <w:tcPr>
            <w:tcW w:w="1503" w:type="dxa"/>
          </w:tcPr>
          <w:p w:rsidRPr="00695D5A" w:rsidR="00695D5A" w:rsidP="00695D5A" w:rsidRDefault="00695D5A">
            <w:pPr>
              <w:spacing w:after="0" w:line="240" w:lineRule="auto"/>
              <w:jc w:val="both"/>
              <w:rPr>
                <w:rFonts w:ascii="Arial" w:hAnsi="Arial" w:cs="Arial"/>
                <w:sz w:val="24"/>
                <w:szCs w:val="24"/>
              </w:rPr>
            </w:pPr>
            <w:r w:rsidRPr="00695D5A">
              <w:rPr>
                <w:rFonts w:ascii="Arial" w:hAnsi="Arial" w:cs="Arial"/>
                <w:sz w:val="24"/>
                <w:szCs w:val="24"/>
              </w:rPr>
              <w:t>Median for Male</w:t>
            </w:r>
          </w:p>
        </w:tc>
        <w:tc>
          <w:tcPr>
            <w:tcW w:w="1504" w:type="dxa"/>
          </w:tcPr>
          <w:p w:rsidRPr="00695D5A" w:rsidR="00695D5A" w:rsidP="00695D5A" w:rsidRDefault="00E41308">
            <w:pPr>
              <w:spacing w:after="0" w:line="240" w:lineRule="auto"/>
              <w:jc w:val="both"/>
              <w:rPr>
                <w:rFonts w:ascii="Arial" w:hAnsi="Arial" w:cs="Arial"/>
                <w:sz w:val="24"/>
                <w:szCs w:val="24"/>
              </w:rPr>
            </w:pPr>
            <w:r>
              <w:rPr>
                <w:rFonts w:ascii="Arial" w:hAnsi="Arial" w:cs="Arial"/>
                <w:sz w:val="24"/>
                <w:szCs w:val="24"/>
              </w:rPr>
              <w:t>15.15</w:t>
            </w:r>
          </w:p>
        </w:tc>
        <w:tc>
          <w:tcPr>
            <w:tcW w:w="1503" w:type="dxa"/>
          </w:tcPr>
          <w:p w:rsidRPr="00695D5A" w:rsidR="00695D5A" w:rsidP="00695D5A" w:rsidRDefault="00695D5A">
            <w:pPr>
              <w:spacing w:after="0" w:line="240" w:lineRule="auto"/>
              <w:jc w:val="both"/>
              <w:rPr>
                <w:rFonts w:ascii="Arial" w:hAnsi="Arial" w:cs="Arial"/>
                <w:sz w:val="24"/>
                <w:szCs w:val="24"/>
              </w:rPr>
            </w:pPr>
            <w:r w:rsidRPr="00695D5A">
              <w:rPr>
                <w:rFonts w:ascii="Arial" w:hAnsi="Arial" w:cs="Arial"/>
                <w:sz w:val="24"/>
                <w:szCs w:val="24"/>
              </w:rPr>
              <w:t>Median for female</w:t>
            </w:r>
          </w:p>
        </w:tc>
        <w:tc>
          <w:tcPr>
            <w:tcW w:w="1504" w:type="dxa"/>
          </w:tcPr>
          <w:p w:rsidRPr="00695D5A" w:rsidR="00695D5A" w:rsidP="00695D5A" w:rsidRDefault="00E41308">
            <w:pPr>
              <w:spacing w:after="0" w:line="240" w:lineRule="auto"/>
              <w:jc w:val="both"/>
              <w:rPr>
                <w:rFonts w:ascii="Arial" w:hAnsi="Arial" w:cs="Arial"/>
                <w:sz w:val="24"/>
                <w:szCs w:val="24"/>
              </w:rPr>
            </w:pPr>
            <w:r>
              <w:rPr>
                <w:rFonts w:ascii="Arial" w:hAnsi="Arial" w:cs="Arial"/>
                <w:sz w:val="24"/>
                <w:szCs w:val="24"/>
              </w:rPr>
              <w:t>15.52</w:t>
            </w:r>
          </w:p>
        </w:tc>
        <w:tc>
          <w:tcPr>
            <w:tcW w:w="1503" w:type="dxa"/>
          </w:tcPr>
          <w:p w:rsidRPr="00695D5A" w:rsidR="00695D5A" w:rsidP="00695D5A" w:rsidRDefault="00695D5A">
            <w:pPr>
              <w:spacing w:after="0" w:line="240" w:lineRule="auto"/>
              <w:jc w:val="both"/>
              <w:rPr>
                <w:rFonts w:ascii="Arial" w:hAnsi="Arial" w:cs="Arial"/>
                <w:sz w:val="24"/>
                <w:szCs w:val="24"/>
              </w:rPr>
            </w:pPr>
            <w:r w:rsidRPr="00695D5A">
              <w:rPr>
                <w:rFonts w:ascii="Arial" w:hAnsi="Arial" w:cs="Arial"/>
                <w:sz w:val="24"/>
                <w:szCs w:val="24"/>
              </w:rPr>
              <w:t>Median gender pay gap</w:t>
            </w:r>
          </w:p>
        </w:tc>
        <w:tc>
          <w:tcPr>
            <w:tcW w:w="1504" w:type="dxa"/>
          </w:tcPr>
          <w:p w:rsidRPr="00695D5A" w:rsidR="00695D5A" w:rsidP="00695D5A" w:rsidRDefault="00E41308">
            <w:pPr>
              <w:spacing w:after="0" w:line="240" w:lineRule="auto"/>
              <w:jc w:val="both"/>
              <w:rPr>
                <w:rFonts w:ascii="Arial" w:hAnsi="Arial" w:cs="Arial"/>
                <w:sz w:val="24"/>
                <w:szCs w:val="24"/>
              </w:rPr>
            </w:pPr>
            <w:r>
              <w:rPr>
                <w:rFonts w:ascii="Arial" w:hAnsi="Arial" w:cs="Arial"/>
                <w:sz w:val="24"/>
                <w:szCs w:val="24"/>
              </w:rPr>
              <w:t>-2.41%</w:t>
            </w:r>
          </w:p>
        </w:tc>
      </w:tr>
    </w:tbl>
    <w:p w:rsidRPr="00250BC4" w:rsidR="001A6B00" w:rsidP="00695D5A" w:rsidRDefault="001A6B00">
      <w:pPr>
        <w:spacing w:after="0" w:line="240" w:lineRule="auto"/>
        <w:jc w:val="both"/>
        <w:rPr>
          <w:rFonts w:ascii="Arial" w:hAnsi="Arial" w:cs="Arial"/>
          <w:sz w:val="24"/>
          <w:szCs w:val="24"/>
        </w:rPr>
      </w:pPr>
    </w:p>
    <w:p w:rsidRPr="0012301F" w:rsidR="00695D5A" w:rsidP="00695D5A" w:rsidRDefault="00695D5A">
      <w:pPr>
        <w:spacing w:after="0" w:line="240" w:lineRule="auto"/>
        <w:rPr>
          <w:rFonts w:ascii="Arial" w:hAnsi="Arial" w:cs="Arial"/>
          <w:b/>
          <w:sz w:val="24"/>
          <w:szCs w:val="24"/>
        </w:rPr>
      </w:pPr>
      <w:r w:rsidRPr="0012301F">
        <w:rPr>
          <w:rFonts w:ascii="Arial" w:hAnsi="Arial" w:cs="Arial"/>
          <w:b/>
          <w:sz w:val="24"/>
          <w:szCs w:val="24"/>
        </w:rPr>
        <w:t>Bonuses Paid</w:t>
      </w:r>
    </w:p>
    <w:p w:rsidRPr="0012301F" w:rsidR="00695D5A" w:rsidP="00695D5A" w:rsidRDefault="00695D5A">
      <w:pPr>
        <w:spacing w:after="0" w:line="240" w:lineRule="auto"/>
        <w:rPr>
          <w:rFonts w:ascii="Arial" w:hAnsi="Arial" w:cs="Arial"/>
          <w:b/>
          <w:sz w:val="24"/>
          <w:szCs w:val="24"/>
        </w:rPr>
      </w:pPr>
    </w:p>
    <w:p w:rsidR="00695D5A" w:rsidP="00695D5A" w:rsidRDefault="00695D5A">
      <w:pPr>
        <w:spacing w:after="0" w:line="240" w:lineRule="auto"/>
        <w:rPr>
          <w:rFonts w:ascii="Arial" w:hAnsi="Arial" w:cs="Arial"/>
          <w:sz w:val="24"/>
          <w:szCs w:val="24"/>
        </w:rPr>
      </w:pPr>
      <w:r w:rsidRPr="0012301F">
        <w:rPr>
          <w:rFonts w:ascii="Arial" w:hAnsi="Arial" w:cs="Arial"/>
          <w:sz w:val="24"/>
          <w:szCs w:val="24"/>
        </w:rPr>
        <w:t>For Gender Pay reporting purposes, the classification of ‘bonus’ includes incentives and long service awards paid in vouchers.  These are the only ‘bonuses’ which are applicable</w:t>
      </w:r>
      <w:r>
        <w:rPr>
          <w:rFonts w:ascii="Arial" w:hAnsi="Arial" w:cs="Arial"/>
          <w:sz w:val="24"/>
          <w:szCs w:val="24"/>
        </w:rPr>
        <w:t xml:space="preserve"> to Hertsmere Borough Council and r</w:t>
      </w:r>
      <w:r w:rsidR="001A6B00">
        <w:rPr>
          <w:rFonts w:ascii="Arial" w:hAnsi="Arial" w:cs="Arial"/>
          <w:sz w:val="24"/>
          <w:szCs w:val="24"/>
        </w:rPr>
        <w:t>elate to the period 1 April 202</w:t>
      </w:r>
      <w:r w:rsidR="000C5247">
        <w:rPr>
          <w:rFonts w:ascii="Arial" w:hAnsi="Arial" w:cs="Arial"/>
          <w:sz w:val="24"/>
          <w:szCs w:val="24"/>
        </w:rPr>
        <w:t>1</w:t>
      </w:r>
      <w:r w:rsidR="001A6B00">
        <w:rPr>
          <w:rFonts w:ascii="Arial" w:hAnsi="Arial" w:cs="Arial"/>
          <w:sz w:val="24"/>
          <w:szCs w:val="24"/>
        </w:rPr>
        <w:t xml:space="preserve"> to 31 March 202</w:t>
      </w:r>
      <w:r w:rsidR="000C5247">
        <w:rPr>
          <w:rFonts w:ascii="Arial" w:hAnsi="Arial" w:cs="Arial"/>
          <w:sz w:val="24"/>
          <w:szCs w:val="24"/>
        </w:rPr>
        <w:t>2</w:t>
      </w:r>
      <w:r>
        <w:rPr>
          <w:rFonts w:ascii="Arial" w:hAnsi="Arial" w:cs="Arial"/>
          <w:sz w:val="24"/>
          <w:szCs w:val="24"/>
        </w:rPr>
        <w:t>.</w:t>
      </w:r>
    </w:p>
    <w:p w:rsidR="00695D5A" w:rsidP="00695D5A" w:rsidRDefault="00695D5A">
      <w:pPr>
        <w:spacing w:after="0" w:line="240" w:lineRule="auto"/>
        <w:rPr>
          <w:rFonts w:ascii="Arial" w:hAnsi="Arial" w:cs="Arial"/>
          <w:sz w:val="24"/>
          <w:szCs w:val="24"/>
        </w:rPr>
      </w:pPr>
    </w:p>
    <w:tbl>
      <w:tblPr>
        <w:tblStyle w:val="TableGrid"/>
        <w:tblW w:w="0" w:type="auto"/>
        <w:tblInd w:w="-5" w:type="dxa"/>
        <w:tblLook w:val="04A0" w:firstRow="1" w:lastRow="0" w:firstColumn="1" w:lastColumn="0" w:noHBand="0" w:noVBand="1"/>
      </w:tblPr>
      <w:tblGrid>
        <w:gridCol w:w="1503"/>
        <w:gridCol w:w="1504"/>
        <w:gridCol w:w="1503"/>
        <w:gridCol w:w="1504"/>
        <w:gridCol w:w="1503"/>
        <w:gridCol w:w="1504"/>
      </w:tblGrid>
      <w:tr w:rsidRPr="00695D5A" w:rsidR="00695D5A" w:rsidTr="00283ADD">
        <w:tc>
          <w:tcPr>
            <w:tcW w:w="1503" w:type="dxa"/>
          </w:tcPr>
          <w:p w:rsidRPr="00695D5A" w:rsidR="00695D5A" w:rsidP="00283ADD" w:rsidRDefault="00695D5A">
            <w:pPr>
              <w:spacing w:after="0" w:line="240" w:lineRule="auto"/>
              <w:jc w:val="both"/>
              <w:rPr>
                <w:rFonts w:ascii="Arial" w:hAnsi="Arial" w:cs="Arial"/>
                <w:sz w:val="24"/>
                <w:szCs w:val="24"/>
              </w:rPr>
            </w:pPr>
            <w:r w:rsidRPr="00695D5A">
              <w:rPr>
                <w:rFonts w:ascii="Arial" w:hAnsi="Arial" w:cs="Arial"/>
                <w:sz w:val="24"/>
                <w:szCs w:val="24"/>
              </w:rPr>
              <w:t>Mean for male</w:t>
            </w:r>
          </w:p>
        </w:tc>
        <w:tc>
          <w:tcPr>
            <w:tcW w:w="1504" w:type="dxa"/>
          </w:tcPr>
          <w:p w:rsidRPr="00695D5A" w:rsidR="00695D5A" w:rsidP="00283ADD" w:rsidRDefault="00E41308">
            <w:pPr>
              <w:spacing w:after="0" w:line="240" w:lineRule="auto"/>
              <w:jc w:val="both"/>
              <w:rPr>
                <w:rFonts w:ascii="Arial" w:hAnsi="Arial" w:cs="Arial"/>
                <w:sz w:val="24"/>
                <w:szCs w:val="24"/>
              </w:rPr>
            </w:pPr>
            <w:r>
              <w:rPr>
                <w:rFonts w:ascii="Arial" w:hAnsi="Arial" w:cs="Arial"/>
                <w:sz w:val="24"/>
                <w:szCs w:val="24"/>
              </w:rPr>
              <w:t>420</w:t>
            </w:r>
          </w:p>
        </w:tc>
        <w:tc>
          <w:tcPr>
            <w:tcW w:w="1503" w:type="dxa"/>
          </w:tcPr>
          <w:p w:rsidRPr="00695D5A" w:rsidR="00695D5A" w:rsidP="00283ADD" w:rsidRDefault="00695D5A">
            <w:pPr>
              <w:spacing w:after="0" w:line="240" w:lineRule="auto"/>
              <w:jc w:val="both"/>
              <w:rPr>
                <w:rFonts w:ascii="Arial" w:hAnsi="Arial" w:cs="Arial"/>
                <w:sz w:val="24"/>
                <w:szCs w:val="24"/>
              </w:rPr>
            </w:pPr>
            <w:r w:rsidRPr="00695D5A">
              <w:rPr>
                <w:rFonts w:ascii="Arial" w:hAnsi="Arial" w:cs="Arial"/>
                <w:sz w:val="24"/>
                <w:szCs w:val="24"/>
              </w:rPr>
              <w:t>Mean for female</w:t>
            </w:r>
          </w:p>
        </w:tc>
        <w:tc>
          <w:tcPr>
            <w:tcW w:w="1504" w:type="dxa"/>
          </w:tcPr>
          <w:p w:rsidRPr="00695D5A" w:rsidR="00695D5A" w:rsidP="00283ADD" w:rsidRDefault="00E41308">
            <w:pPr>
              <w:spacing w:after="0" w:line="240" w:lineRule="auto"/>
              <w:jc w:val="both"/>
              <w:rPr>
                <w:rFonts w:ascii="Arial" w:hAnsi="Arial" w:cs="Arial"/>
                <w:sz w:val="24"/>
                <w:szCs w:val="24"/>
              </w:rPr>
            </w:pPr>
            <w:r>
              <w:rPr>
                <w:rFonts w:ascii="Arial" w:hAnsi="Arial" w:cs="Arial"/>
                <w:sz w:val="24"/>
                <w:szCs w:val="24"/>
              </w:rPr>
              <w:t>425</w:t>
            </w:r>
          </w:p>
        </w:tc>
        <w:tc>
          <w:tcPr>
            <w:tcW w:w="1503" w:type="dxa"/>
          </w:tcPr>
          <w:p w:rsidRPr="00695D5A" w:rsidR="00695D5A" w:rsidP="00283ADD" w:rsidRDefault="00695D5A">
            <w:pPr>
              <w:spacing w:after="0" w:line="240" w:lineRule="auto"/>
              <w:jc w:val="both"/>
              <w:rPr>
                <w:rFonts w:ascii="Arial" w:hAnsi="Arial" w:cs="Arial"/>
                <w:sz w:val="24"/>
                <w:szCs w:val="24"/>
              </w:rPr>
            </w:pPr>
            <w:r w:rsidRPr="00695D5A">
              <w:rPr>
                <w:rFonts w:ascii="Arial" w:hAnsi="Arial" w:cs="Arial"/>
                <w:sz w:val="24"/>
                <w:szCs w:val="24"/>
              </w:rPr>
              <w:t>Mean gender pay gap</w:t>
            </w:r>
          </w:p>
        </w:tc>
        <w:tc>
          <w:tcPr>
            <w:tcW w:w="1504" w:type="dxa"/>
          </w:tcPr>
          <w:p w:rsidRPr="00695D5A" w:rsidR="00695D5A" w:rsidP="00283ADD" w:rsidRDefault="00E41308">
            <w:pPr>
              <w:spacing w:after="0" w:line="240" w:lineRule="auto"/>
              <w:jc w:val="both"/>
              <w:rPr>
                <w:rFonts w:ascii="Arial" w:hAnsi="Arial" w:cs="Arial"/>
                <w:sz w:val="24"/>
                <w:szCs w:val="24"/>
              </w:rPr>
            </w:pPr>
            <w:r>
              <w:rPr>
                <w:rFonts w:ascii="Arial" w:hAnsi="Arial" w:cs="Arial"/>
                <w:sz w:val="24"/>
                <w:szCs w:val="24"/>
              </w:rPr>
              <w:t>-1.19%</w:t>
            </w:r>
          </w:p>
        </w:tc>
      </w:tr>
      <w:tr w:rsidRPr="00695D5A" w:rsidR="00695D5A" w:rsidTr="00283ADD">
        <w:tc>
          <w:tcPr>
            <w:tcW w:w="1503" w:type="dxa"/>
          </w:tcPr>
          <w:p w:rsidRPr="00695D5A" w:rsidR="00695D5A" w:rsidP="00283ADD" w:rsidRDefault="00695D5A">
            <w:pPr>
              <w:spacing w:after="0" w:line="240" w:lineRule="auto"/>
              <w:jc w:val="both"/>
              <w:rPr>
                <w:rFonts w:ascii="Arial" w:hAnsi="Arial" w:cs="Arial"/>
                <w:sz w:val="24"/>
                <w:szCs w:val="24"/>
              </w:rPr>
            </w:pPr>
            <w:r w:rsidRPr="00695D5A">
              <w:rPr>
                <w:rFonts w:ascii="Arial" w:hAnsi="Arial" w:cs="Arial"/>
                <w:sz w:val="24"/>
                <w:szCs w:val="24"/>
              </w:rPr>
              <w:t>Median for Male</w:t>
            </w:r>
          </w:p>
        </w:tc>
        <w:tc>
          <w:tcPr>
            <w:tcW w:w="1504" w:type="dxa"/>
          </w:tcPr>
          <w:p w:rsidRPr="00695D5A" w:rsidR="00695D5A" w:rsidP="00283ADD" w:rsidRDefault="00E41308">
            <w:pPr>
              <w:spacing w:after="0" w:line="240" w:lineRule="auto"/>
              <w:jc w:val="both"/>
              <w:rPr>
                <w:rFonts w:ascii="Arial" w:hAnsi="Arial" w:cs="Arial"/>
                <w:sz w:val="24"/>
                <w:szCs w:val="24"/>
              </w:rPr>
            </w:pPr>
            <w:r>
              <w:rPr>
                <w:rFonts w:ascii="Arial" w:hAnsi="Arial" w:cs="Arial"/>
                <w:sz w:val="24"/>
                <w:szCs w:val="24"/>
              </w:rPr>
              <w:t>300</w:t>
            </w:r>
          </w:p>
        </w:tc>
        <w:tc>
          <w:tcPr>
            <w:tcW w:w="1503" w:type="dxa"/>
          </w:tcPr>
          <w:p w:rsidRPr="00695D5A" w:rsidR="00695D5A" w:rsidP="00283ADD" w:rsidRDefault="00695D5A">
            <w:pPr>
              <w:spacing w:after="0" w:line="240" w:lineRule="auto"/>
              <w:jc w:val="both"/>
              <w:rPr>
                <w:rFonts w:ascii="Arial" w:hAnsi="Arial" w:cs="Arial"/>
                <w:sz w:val="24"/>
                <w:szCs w:val="24"/>
              </w:rPr>
            </w:pPr>
            <w:r w:rsidRPr="00695D5A">
              <w:rPr>
                <w:rFonts w:ascii="Arial" w:hAnsi="Arial" w:cs="Arial"/>
                <w:sz w:val="24"/>
                <w:szCs w:val="24"/>
              </w:rPr>
              <w:t>Median for female</w:t>
            </w:r>
          </w:p>
        </w:tc>
        <w:tc>
          <w:tcPr>
            <w:tcW w:w="1504" w:type="dxa"/>
          </w:tcPr>
          <w:p w:rsidRPr="00695D5A" w:rsidR="00695D5A" w:rsidP="00283ADD" w:rsidRDefault="00E41308">
            <w:pPr>
              <w:spacing w:after="0" w:line="240" w:lineRule="auto"/>
              <w:jc w:val="both"/>
              <w:rPr>
                <w:rFonts w:ascii="Arial" w:hAnsi="Arial" w:cs="Arial"/>
                <w:sz w:val="24"/>
                <w:szCs w:val="24"/>
              </w:rPr>
            </w:pPr>
            <w:r>
              <w:rPr>
                <w:rFonts w:ascii="Arial" w:hAnsi="Arial" w:cs="Arial"/>
                <w:sz w:val="24"/>
                <w:szCs w:val="24"/>
              </w:rPr>
              <w:t>400</w:t>
            </w:r>
          </w:p>
        </w:tc>
        <w:tc>
          <w:tcPr>
            <w:tcW w:w="1503" w:type="dxa"/>
          </w:tcPr>
          <w:p w:rsidRPr="00695D5A" w:rsidR="00695D5A" w:rsidP="00283ADD" w:rsidRDefault="00695D5A">
            <w:pPr>
              <w:spacing w:after="0" w:line="240" w:lineRule="auto"/>
              <w:jc w:val="both"/>
              <w:rPr>
                <w:rFonts w:ascii="Arial" w:hAnsi="Arial" w:cs="Arial"/>
                <w:sz w:val="24"/>
                <w:szCs w:val="24"/>
              </w:rPr>
            </w:pPr>
            <w:r w:rsidRPr="00695D5A">
              <w:rPr>
                <w:rFonts w:ascii="Arial" w:hAnsi="Arial" w:cs="Arial"/>
                <w:sz w:val="24"/>
                <w:szCs w:val="24"/>
              </w:rPr>
              <w:t>Median gender pay gap</w:t>
            </w:r>
          </w:p>
        </w:tc>
        <w:tc>
          <w:tcPr>
            <w:tcW w:w="1504" w:type="dxa"/>
          </w:tcPr>
          <w:p w:rsidRPr="00695D5A" w:rsidR="00695D5A" w:rsidP="00283ADD" w:rsidRDefault="00E41308">
            <w:pPr>
              <w:spacing w:after="0" w:line="240" w:lineRule="auto"/>
              <w:jc w:val="both"/>
              <w:rPr>
                <w:rFonts w:ascii="Arial" w:hAnsi="Arial" w:cs="Arial"/>
                <w:sz w:val="24"/>
                <w:szCs w:val="24"/>
              </w:rPr>
            </w:pPr>
            <w:r>
              <w:rPr>
                <w:rFonts w:ascii="Arial" w:hAnsi="Arial" w:cs="Arial"/>
                <w:sz w:val="24"/>
                <w:szCs w:val="24"/>
              </w:rPr>
              <w:t>-33.33%</w:t>
            </w:r>
          </w:p>
        </w:tc>
      </w:tr>
    </w:tbl>
    <w:p w:rsidR="00695D5A" w:rsidP="00695D5A" w:rsidRDefault="00695D5A">
      <w:pPr>
        <w:spacing w:after="0" w:line="240" w:lineRule="auto"/>
        <w:rPr>
          <w:rFonts w:ascii="Arial" w:hAnsi="Arial" w:cs="Arial"/>
          <w:sz w:val="24"/>
          <w:szCs w:val="24"/>
        </w:rPr>
      </w:pPr>
    </w:p>
    <w:tbl>
      <w:tblPr>
        <w:tblStyle w:val="TableGrid"/>
        <w:tblW w:w="0" w:type="auto"/>
        <w:tblLook w:val="04A0" w:firstRow="1" w:lastRow="0" w:firstColumn="1" w:lastColumn="0" w:noHBand="0" w:noVBand="1"/>
      </w:tblPr>
      <w:tblGrid>
        <w:gridCol w:w="2254"/>
        <w:gridCol w:w="2254"/>
        <w:gridCol w:w="2254"/>
        <w:gridCol w:w="2254"/>
      </w:tblGrid>
      <w:tr w:rsidR="00695D5A" w:rsidTr="00695D5A">
        <w:tc>
          <w:tcPr>
            <w:tcW w:w="2254" w:type="dxa"/>
          </w:tcPr>
          <w:p w:rsidR="00695D5A" w:rsidP="00695D5A" w:rsidRDefault="00695D5A">
            <w:pPr>
              <w:spacing w:after="0" w:line="240" w:lineRule="auto"/>
              <w:rPr>
                <w:rFonts w:ascii="Arial" w:hAnsi="Arial" w:cs="Arial"/>
                <w:sz w:val="24"/>
                <w:szCs w:val="24"/>
              </w:rPr>
            </w:pPr>
            <w:r>
              <w:rPr>
                <w:rFonts w:ascii="Arial" w:hAnsi="Arial" w:cs="Arial"/>
                <w:sz w:val="24"/>
                <w:szCs w:val="24"/>
              </w:rPr>
              <w:t>Proportion of males with a bonus</w:t>
            </w:r>
          </w:p>
        </w:tc>
        <w:tc>
          <w:tcPr>
            <w:tcW w:w="2254" w:type="dxa"/>
          </w:tcPr>
          <w:p w:rsidR="00695D5A" w:rsidP="00695D5A" w:rsidRDefault="00E41308">
            <w:pPr>
              <w:spacing w:after="0" w:line="240" w:lineRule="auto"/>
              <w:rPr>
                <w:rFonts w:ascii="Arial" w:hAnsi="Arial" w:cs="Arial"/>
                <w:sz w:val="24"/>
                <w:szCs w:val="24"/>
              </w:rPr>
            </w:pPr>
            <w:r>
              <w:rPr>
                <w:rFonts w:ascii="Arial" w:hAnsi="Arial" w:cs="Arial"/>
                <w:sz w:val="24"/>
                <w:szCs w:val="24"/>
              </w:rPr>
              <w:t>6.94%</w:t>
            </w:r>
          </w:p>
        </w:tc>
        <w:tc>
          <w:tcPr>
            <w:tcW w:w="2254" w:type="dxa"/>
          </w:tcPr>
          <w:p w:rsidR="00695D5A" w:rsidP="00695D5A" w:rsidRDefault="00695D5A">
            <w:pPr>
              <w:spacing w:after="0" w:line="240" w:lineRule="auto"/>
              <w:rPr>
                <w:rFonts w:ascii="Arial" w:hAnsi="Arial" w:cs="Arial"/>
                <w:sz w:val="24"/>
                <w:szCs w:val="24"/>
              </w:rPr>
            </w:pPr>
            <w:r>
              <w:rPr>
                <w:rFonts w:ascii="Arial" w:hAnsi="Arial" w:cs="Arial"/>
                <w:sz w:val="24"/>
                <w:szCs w:val="24"/>
              </w:rPr>
              <w:t>Proportion of females with a bonus</w:t>
            </w:r>
          </w:p>
        </w:tc>
        <w:tc>
          <w:tcPr>
            <w:tcW w:w="2254" w:type="dxa"/>
          </w:tcPr>
          <w:p w:rsidR="00695D5A" w:rsidP="00695D5A" w:rsidRDefault="00B71659">
            <w:pPr>
              <w:spacing w:after="0" w:line="240" w:lineRule="auto"/>
              <w:rPr>
                <w:rFonts w:ascii="Arial" w:hAnsi="Arial" w:cs="Arial"/>
                <w:sz w:val="24"/>
                <w:szCs w:val="24"/>
              </w:rPr>
            </w:pPr>
            <w:r>
              <w:rPr>
                <w:rFonts w:ascii="Arial" w:hAnsi="Arial" w:cs="Arial"/>
                <w:sz w:val="24"/>
                <w:szCs w:val="24"/>
              </w:rPr>
              <w:t>7.84%</w:t>
            </w:r>
          </w:p>
        </w:tc>
      </w:tr>
    </w:tbl>
    <w:p w:rsidR="00695D5A" w:rsidP="00695D5A" w:rsidRDefault="00695D5A">
      <w:pPr>
        <w:spacing w:after="0" w:line="240" w:lineRule="auto"/>
        <w:rPr>
          <w:rFonts w:ascii="Arial" w:hAnsi="Arial" w:cs="Arial"/>
          <w:noProof/>
          <w:sz w:val="24"/>
          <w:szCs w:val="24"/>
          <w:lang w:eastAsia="en-GB"/>
        </w:rPr>
      </w:pPr>
      <w:r w:rsidRPr="0012301F">
        <w:rPr>
          <w:rFonts w:ascii="Arial" w:hAnsi="Arial" w:cs="Arial"/>
          <w:sz w:val="24"/>
          <w:szCs w:val="24"/>
        </w:rPr>
        <w:br/>
      </w:r>
    </w:p>
    <w:p w:rsidR="00695D5A" w:rsidP="00695D5A" w:rsidRDefault="00695D5A">
      <w:pPr>
        <w:spacing w:after="0" w:line="240" w:lineRule="auto"/>
        <w:jc w:val="both"/>
        <w:rPr>
          <w:rFonts w:ascii="Arial" w:hAnsi="Arial" w:cs="Arial"/>
          <w:noProof/>
          <w:sz w:val="24"/>
          <w:szCs w:val="24"/>
          <w:lang w:eastAsia="en-GB"/>
        </w:rPr>
      </w:pPr>
    </w:p>
    <w:p w:rsidR="00695D5A" w:rsidP="00695D5A" w:rsidRDefault="00695D5A">
      <w:pPr>
        <w:spacing w:after="0" w:line="240" w:lineRule="auto"/>
        <w:jc w:val="both"/>
        <w:rPr>
          <w:rFonts w:ascii="Arial" w:hAnsi="Arial" w:cs="Arial"/>
          <w:noProof/>
          <w:sz w:val="24"/>
          <w:szCs w:val="24"/>
          <w:lang w:eastAsia="en-GB"/>
        </w:rPr>
      </w:pPr>
    </w:p>
    <w:p w:rsidR="00695D5A" w:rsidP="00695D5A" w:rsidRDefault="00695D5A">
      <w:pPr>
        <w:spacing w:after="0" w:line="240" w:lineRule="auto"/>
        <w:jc w:val="both"/>
        <w:rPr>
          <w:rFonts w:ascii="Arial" w:hAnsi="Arial" w:cs="Arial"/>
          <w:noProof/>
          <w:sz w:val="24"/>
          <w:szCs w:val="24"/>
          <w:lang w:eastAsia="en-GB"/>
        </w:rPr>
      </w:pPr>
    </w:p>
    <w:p w:rsidR="00695D5A" w:rsidP="00695D5A" w:rsidRDefault="00695D5A">
      <w:pPr>
        <w:spacing w:after="0" w:line="240" w:lineRule="auto"/>
        <w:jc w:val="both"/>
        <w:rPr>
          <w:rFonts w:ascii="Arial" w:hAnsi="Arial" w:cs="Arial"/>
          <w:b/>
          <w:sz w:val="24"/>
          <w:szCs w:val="24"/>
        </w:rPr>
      </w:pPr>
    </w:p>
    <w:p w:rsidR="00695D5A" w:rsidP="00695D5A" w:rsidRDefault="00695D5A">
      <w:pPr>
        <w:spacing w:after="0" w:line="240" w:lineRule="auto"/>
        <w:jc w:val="both"/>
        <w:rPr>
          <w:rFonts w:ascii="Arial" w:hAnsi="Arial" w:cs="Arial"/>
          <w:b/>
          <w:sz w:val="24"/>
          <w:szCs w:val="24"/>
        </w:rPr>
      </w:pPr>
      <w:r w:rsidRPr="00250BC4">
        <w:rPr>
          <w:rFonts w:ascii="Arial" w:hAnsi="Arial" w:cs="Arial"/>
          <w:b/>
          <w:sz w:val="24"/>
          <w:szCs w:val="24"/>
        </w:rPr>
        <w:lastRenderedPageBreak/>
        <w:t xml:space="preserve">Proportion of Male and Female employees in each pay quartile </w:t>
      </w:r>
    </w:p>
    <w:p w:rsidR="00695D5A" w:rsidP="00695D5A" w:rsidRDefault="00695D5A">
      <w:pPr>
        <w:spacing w:after="0" w:line="240" w:lineRule="auto"/>
        <w:jc w:val="both"/>
        <w:rPr>
          <w:rFonts w:ascii="Arial" w:hAnsi="Arial" w:cs="Arial"/>
          <w:b/>
          <w:sz w:val="24"/>
          <w:szCs w:val="24"/>
        </w:rPr>
      </w:pPr>
    </w:p>
    <w:tbl>
      <w:tblPr>
        <w:tblStyle w:val="TableGrid"/>
        <w:tblW w:w="0" w:type="auto"/>
        <w:tblLook w:val="04A0" w:firstRow="1" w:lastRow="0" w:firstColumn="1" w:lastColumn="0" w:noHBand="0" w:noVBand="1"/>
      </w:tblPr>
      <w:tblGrid>
        <w:gridCol w:w="1696"/>
        <w:gridCol w:w="1308"/>
        <w:gridCol w:w="1503"/>
        <w:gridCol w:w="1503"/>
        <w:gridCol w:w="1503"/>
        <w:gridCol w:w="1503"/>
      </w:tblGrid>
      <w:tr w:rsidR="00695D5A" w:rsidTr="00510059">
        <w:tc>
          <w:tcPr>
            <w:tcW w:w="1696" w:type="dxa"/>
          </w:tcPr>
          <w:p w:rsidR="00695D5A" w:rsidP="00695D5A" w:rsidRDefault="00695D5A">
            <w:pPr>
              <w:spacing w:after="0" w:line="240" w:lineRule="auto"/>
              <w:jc w:val="both"/>
              <w:rPr>
                <w:rFonts w:ascii="Arial" w:hAnsi="Arial" w:cs="Arial"/>
                <w:b/>
                <w:sz w:val="24"/>
                <w:szCs w:val="24"/>
              </w:rPr>
            </w:pPr>
            <w:r>
              <w:rPr>
                <w:rFonts w:ascii="Arial" w:hAnsi="Arial" w:cs="Arial"/>
                <w:b/>
                <w:sz w:val="24"/>
                <w:szCs w:val="24"/>
              </w:rPr>
              <w:t>Quartile</w:t>
            </w:r>
          </w:p>
        </w:tc>
        <w:tc>
          <w:tcPr>
            <w:tcW w:w="1308" w:type="dxa"/>
          </w:tcPr>
          <w:p w:rsidR="00695D5A" w:rsidP="00695D5A" w:rsidRDefault="00695D5A">
            <w:pPr>
              <w:spacing w:after="0" w:line="240" w:lineRule="auto"/>
              <w:jc w:val="both"/>
              <w:rPr>
                <w:rFonts w:ascii="Arial" w:hAnsi="Arial" w:cs="Arial"/>
                <w:b/>
                <w:sz w:val="24"/>
                <w:szCs w:val="24"/>
              </w:rPr>
            </w:pPr>
            <w:r>
              <w:rPr>
                <w:rFonts w:ascii="Arial" w:hAnsi="Arial" w:cs="Arial"/>
                <w:b/>
                <w:sz w:val="24"/>
                <w:szCs w:val="24"/>
              </w:rPr>
              <w:t>Total staff</w:t>
            </w:r>
          </w:p>
        </w:tc>
        <w:tc>
          <w:tcPr>
            <w:tcW w:w="1503" w:type="dxa"/>
          </w:tcPr>
          <w:p w:rsidR="00695D5A" w:rsidP="00695D5A" w:rsidRDefault="00695D5A">
            <w:pPr>
              <w:spacing w:after="0" w:line="240" w:lineRule="auto"/>
              <w:jc w:val="both"/>
              <w:rPr>
                <w:rFonts w:ascii="Arial" w:hAnsi="Arial" w:cs="Arial"/>
                <w:b/>
                <w:sz w:val="24"/>
                <w:szCs w:val="24"/>
              </w:rPr>
            </w:pPr>
            <w:r>
              <w:rPr>
                <w:rFonts w:ascii="Arial" w:hAnsi="Arial" w:cs="Arial"/>
                <w:b/>
                <w:sz w:val="24"/>
                <w:szCs w:val="24"/>
              </w:rPr>
              <w:t>Male</w:t>
            </w:r>
          </w:p>
        </w:tc>
        <w:tc>
          <w:tcPr>
            <w:tcW w:w="1503" w:type="dxa"/>
          </w:tcPr>
          <w:p w:rsidR="00695D5A" w:rsidP="00695D5A" w:rsidRDefault="00695D5A">
            <w:pPr>
              <w:spacing w:after="0" w:line="240" w:lineRule="auto"/>
              <w:jc w:val="both"/>
              <w:rPr>
                <w:rFonts w:ascii="Arial" w:hAnsi="Arial" w:cs="Arial"/>
                <w:b/>
                <w:sz w:val="24"/>
                <w:szCs w:val="24"/>
              </w:rPr>
            </w:pPr>
            <w:r>
              <w:rPr>
                <w:rFonts w:ascii="Arial" w:hAnsi="Arial" w:cs="Arial"/>
                <w:b/>
                <w:sz w:val="24"/>
                <w:szCs w:val="24"/>
              </w:rPr>
              <w:t>Female</w:t>
            </w:r>
          </w:p>
        </w:tc>
        <w:tc>
          <w:tcPr>
            <w:tcW w:w="1503" w:type="dxa"/>
          </w:tcPr>
          <w:p w:rsidR="00695D5A" w:rsidP="00695D5A" w:rsidRDefault="00695D5A">
            <w:pPr>
              <w:spacing w:after="0" w:line="240" w:lineRule="auto"/>
              <w:jc w:val="both"/>
              <w:rPr>
                <w:rFonts w:ascii="Arial" w:hAnsi="Arial" w:cs="Arial"/>
                <w:b/>
                <w:sz w:val="24"/>
                <w:szCs w:val="24"/>
              </w:rPr>
            </w:pPr>
            <w:r>
              <w:rPr>
                <w:rFonts w:ascii="Arial" w:hAnsi="Arial" w:cs="Arial"/>
                <w:b/>
                <w:sz w:val="24"/>
                <w:szCs w:val="24"/>
              </w:rPr>
              <w:t>Male %</w:t>
            </w:r>
          </w:p>
        </w:tc>
        <w:tc>
          <w:tcPr>
            <w:tcW w:w="1503" w:type="dxa"/>
          </w:tcPr>
          <w:p w:rsidR="00907195" w:rsidP="00695D5A" w:rsidRDefault="00695D5A">
            <w:pPr>
              <w:spacing w:after="0" w:line="240" w:lineRule="auto"/>
              <w:jc w:val="both"/>
              <w:rPr>
                <w:rFonts w:ascii="Arial" w:hAnsi="Arial" w:cs="Arial"/>
                <w:b/>
                <w:sz w:val="24"/>
                <w:szCs w:val="24"/>
              </w:rPr>
            </w:pPr>
            <w:r>
              <w:rPr>
                <w:rFonts w:ascii="Arial" w:hAnsi="Arial" w:cs="Arial"/>
                <w:b/>
                <w:sz w:val="24"/>
                <w:szCs w:val="24"/>
              </w:rPr>
              <w:t>Female %</w:t>
            </w:r>
          </w:p>
        </w:tc>
      </w:tr>
      <w:tr w:rsidR="00695D5A" w:rsidTr="00510059">
        <w:tc>
          <w:tcPr>
            <w:tcW w:w="1696" w:type="dxa"/>
          </w:tcPr>
          <w:p w:rsidRPr="00907195" w:rsidR="00695D5A" w:rsidP="00695D5A" w:rsidRDefault="00695D5A">
            <w:pPr>
              <w:spacing w:after="0" w:line="240" w:lineRule="auto"/>
              <w:jc w:val="both"/>
              <w:rPr>
                <w:rFonts w:ascii="Arial" w:hAnsi="Arial" w:cs="Arial"/>
                <w:sz w:val="24"/>
                <w:szCs w:val="24"/>
              </w:rPr>
            </w:pPr>
            <w:r w:rsidRPr="00907195">
              <w:rPr>
                <w:rFonts w:ascii="Arial" w:hAnsi="Arial" w:cs="Arial"/>
                <w:sz w:val="24"/>
                <w:szCs w:val="24"/>
              </w:rPr>
              <w:t>Lower</w:t>
            </w:r>
          </w:p>
        </w:tc>
        <w:tc>
          <w:tcPr>
            <w:tcW w:w="1308" w:type="dxa"/>
          </w:tcPr>
          <w:p w:rsidRPr="00907195" w:rsidR="00695D5A" w:rsidP="00695D5A" w:rsidRDefault="00B71659">
            <w:pPr>
              <w:spacing w:after="0" w:line="240" w:lineRule="auto"/>
              <w:jc w:val="both"/>
              <w:rPr>
                <w:rFonts w:ascii="Arial" w:hAnsi="Arial" w:cs="Arial"/>
                <w:sz w:val="24"/>
                <w:szCs w:val="24"/>
              </w:rPr>
            </w:pPr>
            <w:r>
              <w:rPr>
                <w:rFonts w:ascii="Arial" w:hAnsi="Arial" w:cs="Arial"/>
                <w:sz w:val="24"/>
                <w:szCs w:val="24"/>
              </w:rPr>
              <w:t>71</w:t>
            </w:r>
          </w:p>
        </w:tc>
        <w:tc>
          <w:tcPr>
            <w:tcW w:w="1503" w:type="dxa"/>
          </w:tcPr>
          <w:p w:rsidRPr="00907195" w:rsidR="00695D5A" w:rsidP="00695D5A" w:rsidRDefault="00B71659">
            <w:pPr>
              <w:spacing w:after="0" w:line="240" w:lineRule="auto"/>
              <w:jc w:val="both"/>
              <w:rPr>
                <w:rFonts w:ascii="Arial" w:hAnsi="Arial" w:cs="Arial"/>
                <w:sz w:val="24"/>
                <w:szCs w:val="24"/>
              </w:rPr>
            </w:pPr>
            <w:r>
              <w:rPr>
                <w:rFonts w:ascii="Arial" w:hAnsi="Arial" w:cs="Arial"/>
                <w:sz w:val="24"/>
                <w:szCs w:val="24"/>
              </w:rPr>
              <w:t>44</w:t>
            </w:r>
          </w:p>
        </w:tc>
        <w:tc>
          <w:tcPr>
            <w:tcW w:w="1503" w:type="dxa"/>
          </w:tcPr>
          <w:p w:rsidRPr="00907195" w:rsidR="00695D5A" w:rsidP="00695D5A" w:rsidRDefault="00B71659">
            <w:pPr>
              <w:spacing w:after="0" w:line="240" w:lineRule="auto"/>
              <w:jc w:val="both"/>
              <w:rPr>
                <w:rFonts w:ascii="Arial" w:hAnsi="Arial" w:cs="Arial"/>
                <w:sz w:val="24"/>
                <w:szCs w:val="24"/>
              </w:rPr>
            </w:pPr>
            <w:r>
              <w:rPr>
                <w:rFonts w:ascii="Arial" w:hAnsi="Arial" w:cs="Arial"/>
                <w:sz w:val="24"/>
                <w:szCs w:val="24"/>
              </w:rPr>
              <w:t>27</w:t>
            </w:r>
          </w:p>
        </w:tc>
        <w:tc>
          <w:tcPr>
            <w:tcW w:w="1503" w:type="dxa"/>
          </w:tcPr>
          <w:p w:rsidRPr="00907195" w:rsidR="00695D5A" w:rsidP="00695D5A" w:rsidRDefault="00B71659">
            <w:pPr>
              <w:spacing w:after="0" w:line="240" w:lineRule="auto"/>
              <w:jc w:val="both"/>
              <w:rPr>
                <w:rFonts w:ascii="Arial" w:hAnsi="Arial" w:cs="Arial"/>
                <w:sz w:val="24"/>
                <w:szCs w:val="24"/>
              </w:rPr>
            </w:pPr>
            <w:r>
              <w:rPr>
                <w:rFonts w:ascii="Arial" w:hAnsi="Arial" w:cs="Arial"/>
                <w:sz w:val="24"/>
                <w:szCs w:val="24"/>
              </w:rPr>
              <w:t>61.97%</w:t>
            </w:r>
          </w:p>
        </w:tc>
        <w:tc>
          <w:tcPr>
            <w:tcW w:w="1503" w:type="dxa"/>
          </w:tcPr>
          <w:p w:rsidRPr="00907195" w:rsidR="00695D5A" w:rsidP="00695D5A" w:rsidRDefault="00B71659">
            <w:pPr>
              <w:spacing w:after="0" w:line="240" w:lineRule="auto"/>
              <w:jc w:val="both"/>
              <w:rPr>
                <w:rFonts w:ascii="Arial" w:hAnsi="Arial" w:cs="Arial"/>
                <w:sz w:val="24"/>
                <w:szCs w:val="24"/>
              </w:rPr>
            </w:pPr>
            <w:r>
              <w:rPr>
                <w:rFonts w:ascii="Arial" w:hAnsi="Arial" w:cs="Arial"/>
                <w:sz w:val="24"/>
                <w:szCs w:val="24"/>
              </w:rPr>
              <w:t>38.03%</w:t>
            </w:r>
          </w:p>
        </w:tc>
      </w:tr>
      <w:tr w:rsidR="00695D5A" w:rsidTr="00510059">
        <w:tc>
          <w:tcPr>
            <w:tcW w:w="1696" w:type="dxa"/>
          </w:tcPr>
          <w:p w:rsidRPr="00907195" w:rsidR="00695D5A" w:rsidP="00695D5A" w:rsidRDefault="00695D5A">
            <w:pPr>
              <w:spacing w:after="0" w:line="240" w:lineRule="auto"/>
              <w:jc w:val="both"/>
              <w:rPr>
                <w:rFonts w:ascii="Arial" w:hAnsi="Arial" w:cs="Arial"/>
                <w:sz w:val="24"/>
                <w:szCs w:val="24"/>
              </w:rPr>
            </w:pPr>
            <w:r w:rsidRPr="00907195">
              <w:rPr>
                <w:rFonts w:ascii="Arial" w:hAnsi="Arial" w:cs="Arial"/>
                <w:sz w:val="24"/>
                <w:szCs w:val="24"/>
              </w:rPr>
              <w:t>Lower middle</w:t>
            </w:r>
          </w:p>
        </w:tc>
        <w:tc>
          <w:tcPr>
            <w:tcW w:w="1308" w:type="dxa"/>
          </w:tcPr>
          <w:p w:rsidRPr="00907195" w:rsidR="00695D5A" w:rsidP="00695D5A" w:rsidRDefault="00B71659">
            <w:pPr>
              <w:spacing w:after="0" w:line="240" w:lineRule="auto"/>
              <w:jc w:val="both"/>
              <w:rPr>
                <w:rFonts w:ascii="Arial" w:hAnsi="Arial" w:cs="Arial"/>
                <w:sz w:val="24"/>
                <w:szCs w:val="24"/>
              </w:rPr>
            </w:pPr>
            <w:r>
              <w:rPr>
                <w:rFonts w:ascii="Arial" w:hAnsi="Arial" w:cs="Arial"/>
                <w:sz w:val="24"/>
                <w:szCs w:val="24"/>
              </w:rPr>
              <w:t>70</w:t>
            </w:r>
          </w:p>
        </w:tc>
        <w:tc>
          <w:tcPr>
            <w:tcW w:w="1503" w:type="dxa"/>
          </w:tcPr>
          <w:p w:rsidRPr="00907195" w:rsidR="00695D5A" w:rsidP="00695D5A" w:rsidRDefault="00B71659">
            <w:pPr>
              <w:spacing w:after="0" w:line="240" w:lineRule="auto"/>
              <w:jc w:val="both"/>
              <w:rPr>
                <w:rFonts w:ascii="Arial" w:hAnsi="Arial" w:cs="Arial"/>
                <w:sz w:val="24"/>
                <w:szCs w:val="24"/>
              </w:rPr>
            </w:pPr>
            <w:r>
              <w:rPr>
                <w:rFonts w:ascii="Arial" w:hAnsi="Arial" w:cs="Arial"/>
                <w:sz w:val="24"/>
                <w:szCs w:val="24"/>
              </w:rPr>
              <w:t>27</w:t>
            </w:r>
          </w:p>
        </w:tc>
        <w:tc>
          <w:tcPr>
            <w:tcW w:w="1503" w:type="dxa"/>
          </w:tcPr>
          <w:p w:rsidRPr="00907195" w:rsidR="00695D5A" w:rsidP="00695D5A" w:rsidRDefault="00B71659">
            <w:pPr>
              <w:spacing w:after="0" w:line="240" w:lineRule="auto"/>
              <w:jc w:val="both"/>
              <w:rPr>
                <w:rFonts w:ascii="Arial" w:hAnsi="Arial" w:cs="Arial"/>
                <w:sz w:val="24"/>
                <w:szCs w:val="24"/>
              </w:rPr>
            </w:pPr>
            <w:r>
              <w:rPr>
                <w:rFonts w:ascii="Arial" w:hAnsi="Arial" w:cs="Arial"/>
                <w:sz w:val="24"/>
                <w:szCs w:val="24"/>
              </w:rPr>
              <w:t>43</w:t>
            </w:r>
          </w:p>
        </w:tc>
        <w:tc>
          <w:tcPr>
            <w:tcW w:w="1503" w:type="dxa"/>
          </w:tcPr>
          <w:p w:rsidRPr="00907195" w:rsidR="00695D5A" w:rsidP="00695D5A" w:rsidRDefault="00B71659">
            <w:pPr>
              <w:spacing w:after="0" w:line="240" w:lineRule="auto"/>
              <w:jc w:val="both"/>
              <w:rPr>
                <w:rFonts w:ascii="Arial" w:hAnsi="Arial" w:cs="Arial"/>
                <w:sz w:val="24"/>
                <w:szCs w:val="24"/>
              </w:rPr>
            </w:pPr>
            <w:r>
              <w:rPr>
                <w:rFonts w:ascii="Arial" w:hAnsi="Arial" w:cs="Arial"/>
                <w:sz w:val="24"/>
                <w:szCs w:val="24"/>
              </w:rPr>
              <w:t>38.57%</w:t>
            </w:r>
          </w:p>
        </w:tc>
        <w:tc>
          <w:tcPr>
            <w:tcW w:w="1503" w:type="dxa"/>
          </w:tcPr>
          <w:p w:rsidRPr="00907195" w:rsidR="00695D5A" w:rsidP="00695D5A" w:rsidRDefault="00B71659">
            <w:pPr>
              <w:spacing w:after="0" w:line="240" w:lineRule="auto"/>
              <w:jc w:val="both"/>
              <w:rPr>
                <w:rFonts w:ascii="Arial" w:hAnsi="Arial" w:cs="Arial"/>
                <w:sz w:val="24"/>
                <w:szCs w:val="24"/>
              </w:rPr>
            </w:pPr>
            <w:r>
              <w:rPr>
                <w:rFonts w:ascii="Arial" w:hAnsi="Arial" w:cs="Arial"/>
                <w:sz w:val="24"/>
                <w:szCs w:val="24"/>
              </w:rPr>
              <w:t>61.43%</w:t>
            </w:r>
          </w:p>
        </w:tc>
      </w:tr>
      <w:tr w:rsidR="00695D5A" w:rsidTr="00510059">
        <w:tc>
          <w:tcPr>
            <w:tcW w:w="1696" w:type="dxa"/>
          </w:tcPr>
          <w:p w:rsidRPr="00907195" w:rsidR="00695D5A" w:rsidP="00695D5A" w:rsidRDefault="00695D5A">
            <w:pPr>
              <w:spacing w:after="0" w:line="240" w:lineRule="auto"/>
              <w:jc w:val="both"/>
              <w:rPr>
                <w:rFonts w:ascii="Arial" w:hAnsi="Arial" w:cs="Arial"/>
                <w:sz w:val="24"/>
                <w:szCs w:val="24"/>
              </w:rPr>
            </w:pPr>
            <w:r w:rsidRPr="00907195">
              <w:rPr>
                <w:rFonts w:ascii="Arial" w:hAnsi="Arial" w:cs="Arial"/>
                <w:sz w:val="24"/>
                <w:szCs w:val="24"/>
              </w:rPr>
              <w:t>Upper middle</w:t>
            </w:r>
          </w:p>
        </w:tc>
        <w:tc>
          <w:tcPr>
            <w:tcW w:w="1308" w:type="dxa"/>
          </w:tcPr>
          <w:p w:rsidRPr="00907195" w:rsidR="00695D5A" w:rsidP="00695D5A" w:rsidRDefault="00B71659">
            <w:pPr>
              <w:spacing w:after="0" w:line="240" w:lineRule="auto"/>
              <w:jc w:val="both"/>
              <w:rPr>
                <w:rFonts w:ascii="Arial" w:hAnsi="Arial" w:cs="Arial"/>
                <w:sz w:val="24"/>
                <w:szCs w:val="24"/>
              </w:rPr>
            </w:pPr>
            <w:r>
              <w:rPr>
                <w:rFonts w:ascii="Arial" w:hAnsi="Arial" w:cs="Arial"/>
                <w:sz w:val="24"/>
                <w:szCs w:val="24"/>
              </w:rPr>
              <w:t>70</w:t>
            </w:r>
          </w:p>
        </w:tc>
        <w:tc>
          <w:tcPr>
            <w:tcW w:w="1503" w:type="dxa"/>
          </w:tcPr>
          <w:p w:rsidRPr="00907195" w:rsidR="00695D5A" w:rsidP="00695D5A" w:rsidRDefault="00B71659">
            <w:pPr>
              <w:spacing w:after="0" w:line="240" w:lineRule="auto"/>
              <w:jc w:val="both"/>
              <w:rPr>
                <w:rFonts w:ascii="Arial" w:hAnsi="Arial" w:cs="Arial"/>
                <w:sz w:val="24"/>
                <w:szCs w:val="24"/>
              </w:rPr>
            </w:pPr>
            <w:r>
              <w:rPr>
                <w:rFonts w:ascii="Arial" w:hAnsi="Arial" w:cs="Arial"/>
                <w:sz w:val="24"/>
                <w:szCs w:val="24"/>
              </w:rPr>
              <w:t>29</w:t>
            </w:r>
          </w:p>
        </w:tc>
        <w:tc>
          <w:tcPr>
            <w:tcW w:w="1503" w:type="dxa"/>
          </w:tcPr>
          <w:p w:rsidRPr="00907195" w:rsidR="00695D5A" w:rsidP="00695D5A" w:rsidRDefault="00B71659">
            <w:pPr>
              <w:spacing w:after="0" w:line="240" w:lineRule="auto"/>
              <w:jc w:val="both"/>
              <w:rPr>
                <w:rFonts w:ascii="Arial" w:hAnsi="Arial" w:cs="Arial"/>
                <w:sz w:val="24"/>
                <w:szCs w:val="24"/>
              </w:rPr>
            </w:pPr>
            <w:r>
              <w:rPr>
                <w:rFonts w:ascii="Arial" w:hAnsi="Arial" w:cs="Arial"/>
                <w:sz w:val="24"/>
                <w:szCs w:val="24"/>
              </w:rPr>
              <w:t>41</w:t>
            </w:r>
          </w:p>
        </w:tc>
        <w:tc>
          <w:tcPr>
            <w:tcW w:w="1503" w:type="dxa"/>
          </w:tcPr>
          <w:p w:rsidRPr="00907195" w:rsidR="00695D5A" w:rsidP="00695D5A" w:rsidRDefault="00B71659">
            <w:pPr>
              <w:spacing w:after="0" w:line="240" w:lineRule="auto"/>
              <w:jc w:val="both"/>
              <w:rPr>
                <w:rFonts w:ascii="Arial" w:hAnsi="Arial" w:cs="Arial"/>
                <w:sz w:val="24"/>
                <w:szCs w:val="24"/>
              </w:rPr>
            </w:pPr>
            <w:r>
              <w:rPr>
                <w:rFonts w:ascii="Arial" w:hAnsi="Arial" w:cs="Arial"/>
                <w:sz w:val="24"/>
                <w:szCs w:val="24"/>
              </w:rPr>
              <w:t>41.43%</w:t>
            </w:r>
          </w:p>
        </w:tc>
        <w:tc>
          <w:tcPr>
            <w:tcW w:w="1503" w:type="dxa"/>
          </w:tcPr>
          <w:p w:rsidRPr="00907195" w:rsidR="00695D5A" w:rsidP="00695D5A" w:rsidRDefault="00B71659">
            <w:pPr>
              <w:spacing w:after="0" w:line="240" w:lineRule="auto"/>
              <w:jc w:val="both"/>
              <w:rPr>
                <w:rFonts w:ascii="Arial" w:hAnsi="Arial" w:cs="Arial"/>
                <w:sz w:val="24"/>
                <w:szCs w:val="24"/>
              </w:rPr>
            </w:pPr>
            <w:r>
              <w:rPr>
                <w:rFonts w:ascii="Arial" w:hAnsi="Arial" w:cs="Arial"/>
                <w:sz w:val="24"/>
                <w:szCs w:val="24"/>
              </w:rPr>
              <w:t>58.57%</w:t>
            </w:r>
          </w:p>
        </w:tc>
      </w:tr>
      <w:tr w:rsidR="00695D5A" w:rsidTr="00510059">
        <w:tc>
          <w:tcPr>
            <w:tcW w:w="1696" w:type="dxa"/>
          </w:tcPr>
          <w:p w:rsidRPr="00907195" w:rsidR="00695D5A" w:rsidP="00695D5A" w:rsidRDefault="00695D5A">
            <w:pPr>
              <w:spacing w:after="0" w:line="240" w:lineRule="auto"/>
              <w:jc w:val="both"/>
              <w:rPr>
                <w:rFonts w:ascii="Arial" w:hAnsi="Arial" w:cs="Arial"/>
                <w:sz w:val="24"/>
                <w:szCs w:val="24"/>
              </w:rPr>
            </w:pPr>
            <w:r w:rsidRPr="00907195">
              <w:rPr>
                <w:rFonts w:ascii="Arial" w:hAnsi="Arial" w:cs="Arial"/>
                <w:sz w:val="24"/>
                <w:szCs w:val="24"/>
              </w:rPr>
              <w:t>Upper</w:t>
            </w:r>
          </w:p>
        </w:tc>
        <w:tc>
          <w:tcPr>
            <w:tcW w:w="1308" w:type="dxa"/>
          </w:tcPr>
          <w:p w:rsidRPr="00907195" w:rsidR="00695D5A" w:rsidP="00695D5A" w:rsidRDefault="00B71659">
            <w:pPr>
              <w:spacing w:after="0" w:line="240" w:lineRule="auto"/>
              <w:jc w:val="both"/>
              <w:rPr>
                <w:rFonts w:ascii="Arial" w:hAnsi="Arial" w:cs="Arial"/>
                <w:sz w:val="24"/>
                <w:szCs w:val="24"/>
              </w:rPr>
            </w:pPr>
            <w:r>
              <w:rPr>
                <w:rFonts w:ascii="Arial" w:hAnsi="Arial" w:cs="Arial"/>
                <w:sz w:val="24"/>
                <w:szCs w:val="24"/>
              </w:rPr>
              <w:t>71</w:t>
            </w:r>
          </w:p>
        </w:tc>
        <w:tc>
          <w:tcPr>
            <w:tcW w:w="1503" w:type="dxa"/>
          </w:tcPr>
          <w:p w:rsidRPr="00907195" w:rsidR="00695D5A" w:rsidP="00695D5A" w:rsidRDefault="00B71659">
            <w:pPr>
              <w:spacing w:after="0" w:line="240" w:lineRule="auto"/>
              <w:jc w:val="both"/>
              <w:rPr>
                <w:rFonts w:ascii="Arial" w:hAnsi="Arial" w:cs="Arial"/>
                <w:sz w:val="24"/>
                <w:szCs w:val="24"/>
              </w:rPr>
            </w:pPr>
            <w:r>
              <w:rPr>
                <w:rFonts w:ascii="Arial" w:hAnsi="Arial" w:cs="Arial"/>
                <w:sz w:val="24"/>
                <w:szCs w:val="24"/>
              </w:rPr>
              <w:t>37</w:t>
            </w:r>
          </w:p>
        </w:tc>
        <w:tc>
          <w:tcPr>
            <w:tcW w:w="1503" w:type="dxa"/>
          </w:tcPr>
          <w:p w:rsidRPr="00907195" w:rsidR="00695D5A" w:rsidP="00695D5A" w:rsidRDefault="00B71659">
            <w:pPr>
              <w:spacing w:after="0" w:line="240" w:lineRule="auto"/>
              <w:jc w:val="both"/>
              <w:rPr>
                <w:rFonts w:ascii="Arial" w:hAnsi="Arial" w:cs="Arial"/>
                <w:sz w:val="24"/>
                <w:szCs w:val="24"/>
              </w:rPr>
            </w:pPr>
            <w:r>
              <w:rPr>
                <w:rFonts w:ascii="Arial" w:hAnsi="Arial" w:cs="Arial"/>
                <w:sz w:val="24"/>
                <w:szCs w:val="24"/>
              </w:rPr>
              <w:t>34</w:t>
            </w:r>
          </w:p>
        </w:tc>
        <w:tc>
          <w:tcPr>
            <w:tcW w:w="1503" w:type="dxa"/>
          </w:tcPr>
          <w:p w:rsidRPr="00907195" w:rsidR="00695D5A" w:rsidP="00695D5A" w:rsidRDefault="00B71659">
            <w:pPr>
              <w:spacing w:after="0" w:line="240" w:lineRule="auto"/>
              <w:jc w:val="both"/>
              <w:rPr>
                <w:rFonts w:ascii="Arial" w:hAnsi="Arial" w:cs="Arial"/>
                <w:sz w:val="24"/>
                <w:szCs w:val="24"/>
              </w:rPr>
            </w:pPr>
            <w:r>
              <w:rPr>
                <w:rFonts w:ascii="Arial" w:hAnsi="Arial" w:cs="Arial"/>
                <w:sz w:val="24"/>
                <w:szCs w:val="24"/>
              </w:rPr>
              <w:t>52.11%</w:t>
            </w:r>
          </w:p>
        </w:tc>
        <w:tc>
          <w:tcPr>
            <w:tcW w:w="1503" w:type="dxa"/>
          </w:tcPr>
          <w:p w:rsidRPr="00907195" w:rsidR="00695D5A" w:rsidP="00695D5A" w:rsidRDefault="00B71659">
            <w:pPr>
              <w:spacing w:after="0" w:line="240" w:lineRule="auto"/>
              <w:jc w:val="both"/>
              <w:rPr>
                <w:rFonts w:ascii="Arial" w:hAnsi="Arial" w:cs="Arial"/>
                <w:sz w:val="24"/>
                <w:szCs w:val="24"/>
              </w:rPr>
            </w:pPr>
            <w:r>
              <w:rPr>
                <w:rFonts w:ascii="Arial" w:hAnsi="Arial" w:cs="Arial"/>
                <w:sz w:val="24"/>
                <w:szCs w:val="24"/>
              </w:rPr>
              <w:t>47.89%</w:t>
            </w:r>
          </w:p>
        </w:tc>
      </w:tr>
    </w:tbl>
    <w:p w:rsidR="00695D5A" w:rsidP="00907195" w:rsidRDefault="00695D5A">
      <w:pPr>
        <w:spacing w:after="0" w:line="240" w:lineRule="auto"/>
        <w:jc w:val="both"/>
        <w:rPr>
          <w:rFonts w:ascii="Arial" w:hAnsi="Arial" w:cs="Arial"/>
          <w:b/>
          <w:sz w:val="24"/>
          <w:szCs w:val="24"/>
        </w:rPr>
      </w:pPr>
    </w:p>
    <w:p w:rsidRPr="0012301F" w:rsidR="00695D5A" w:rsidP="00695D5A" w:rsidRDefault="00695D5A">
      <w:pPr>
        <w:spacing w:after="0" w:line="240" w:lineRule="auto"/>
        <w:rPr>
          <w:rFonts w:ascii="Arial" w:hAnsi="Arial" w:cs="Arial"/>
          <w:b/>
          <w:bCs/>
          <w:sz w:val="24"/>
          <w:szCs w:val="24"/>
        </w:rPr>
      </w:pPr>
      <w:r w:rsidRPr="0012301F">
        <w:rPr>
          <w:rFonts w:ascii="Arial" w:hAnsi="Arial" w:cs="Arial"/>
          <w:b/>
          <w:bCs/>
          <w:sz w:val="24"/>
          <w:szCs w:val="24"/>
        </w:rPr>
        <w:t>Gender Pay Gap Analysis</w:t>
      </w:r>
    </w:p>
    <w:p w:rsidR="00B067AF" w:rsidP="00695D5A" w:rsidRDefault="00B067AF">
      <w:pPr>
        <w:spacing w:after="0" w:line="240" w:lineRule="auto"/>
        <w:rPr>
          <w:rFonts w:ascii="Arial" w:hAnsi="Arial" w:cs="Arial"/>
          <w:sz w:val="24"/>
          <w:szCs w:val="24"/>
        </w:rPr>
      </w:pPr>
    </w:p>
    <w:p w:rsidRPr="0012301F" w:rsidR="00695D5A" w:rsidP="00695D5A" w:rsidRDefault="00B067AF">
      <w:pPr>
        <w:spacing w:after="0" w:line="240" w:lineRule="auto"/>
        <w:rPr>
          <w:rFonts w:ascii="Arial" w:hAnsi="Arial" w:cs="Arial"/>
          <w:sz w:val="24"/>
          <w:szCs w:val="24"/>
        </w:rPr>
      </w:pPr>
      <w:r>
        <w:rPr>
          <w:rFonts w:ascii="Arial" w:hAnsi="Arial" w:cs="Arial"/>
          <w:sz w:val="24"/>
          <w:szCs w:val="24"/>
        </w:rPr>
        <w:t xml:space="preserve">The UK </w:t>
      </w:r>
      <w:r w:rsidRPr="0012301F" w:rsidR="00695D5A">
        <w:rPr>
          <w:rFonts w:ascii="Arial" w:hAnsi="Arial" w:cs="Arial"/>
          <w:sz w:val="24"/>
          <w:szCs w:val="24"/>
        </w:rPr>
        <w:t xml:space="preserve">gender pay gap </w:t>
      </w:r>
      <w:r w:rsidR="00695D5A">
        <w:rPr>
          <w:rFonts w:ascii="Arial" w:hAnsi="Arial" w:cs="Arial"/>
          <w:sz w:val="24"/>
          <w:szCs w:val="24"/>
        </w:rPr>
        <w:t xml:space="preserve">for </w:t>
      </w:r>
      <w:r w:rsidR="00323B7D">
        <w:rPr>
          <w:rFonts w:ascii="Arial" w:hAnsi="Arial" w:cs="Arial"/>
          <w:sz w:val="24"/>
          <w:szCs w:val="24"/>
        </w:rPr>
        <w:t>202</w:t>
      </w:r>
      <w:r w:rsidR="002052E3">
        <w:rPr>
          <w:rFonts w:ascii="Arial" w:hAnsi="Arial" w:cs="Arial"/>
          <w:sz w:val="24"/>
          <w:szCs w:val="24"/>
        </w:rPr>
        <w:t>2</w:t>
      </w:r>
      <w:r w:rsidR="00323B7D">
        <w:rPr>
          <w:rFonts w:ascii="Arial" w:hAnsi="Arial" w:cs="Arial"/>
          <w:sz w:val="24"/>
          <w:szCs w:val="24"/>
        </w:rPr>
        <w:t xml:space="preserve"> </w:t>
      </w:r>
      <w:r w:rsidRPr="00B067AF" w:rsidR="00695D5A">
        <w:rPr>
          <w:rFonts w:ascii="Arial" w:hAnsi="Arial" w:cs="Arial"/>
          <w:sz w:val="24"/>
          <w:szCs w:val="24"/>
        </w:rPr>
        <w:t>reported by the Office for National Statistics</w:t>
      </w:r>
      <w:r w:rsidR="00323B7D">
        <w:rPr>
          <w:rFonts w:ascii="Arial" w:hAnsi="Arial" w:cs="Arial"/>
          <w:sz w:val="24"/>
          <w:szCs w:val="24"/>
        </w:rPr>
        <w:t xml:space="preserve">, </w:t>
      </w:r>
      <w:r w:rsidRPr="00B067AF" w:rsidR="00695D5A">
        <w:rPr>
          <w:rFonts w:ascii="Arial" w:hAnsi="Arial" w:cs="Arial"/>
          <w:sz w:val="24"/>
          <w:szCs w:val="24"/>
        </w:rPr>
        <w:t xml:space="preserve">is </w:t>
      </w:r>
      <w:r w:rsidR="002052E3">
        <w:rPr>
          <w:rFonts w:ascii="Arial" w:hAnsi="Arial" w:cs="Arial"/>
          <w:sz w:val="24"/>
          <w:szCs w:val="24"/>
        </w:rPr>
        <w:t>14.9</w:t>
      </w:r>
      <w:r w:rsidRPr="00B067AF">
        <w:rPr>
          <w:rFonts w:ascii="Arial" w:hAnsi="Arial" w:cs="Arial"/>
          <w:sz w:val="24"/>
          <w:szCs w:val="24"/>
        </w:rPr>
        <w:t xml:space="preserve">% for all employees and </w:t>
      </w:r>
      <w:r w:rsidR="002052E3">
        <w:rPr>
          <w:rFonts w:ascii="Arial" w:hAnsi="Arial" w:cs="Arial"/>
          <w:sz w:val="24"/>
          <w:szCs w:val="24"/>
        </w:rPr>
        <w:t>8.3</w:t>
      </w:r>
      <w:r w:rsidRPr="00B067AF" w:rsidR="00695D5A">
        <w:rPr>
          <w:rFonts w:ascii="Arial" w:hAnsi="Arial" w:cs="Arial"/>
          <w:sz w:val="24"/>
          <w:szCs w:val="24"/>
        </w:rPr>
        <w:t>% for full time staff (in favour of men).</w:t>
      </w:r>
      <w:r w:rsidRPr="0012301F" w:rsidR="00695D5A">
        <w:rPr>
          <w:rFonts w:ascii="Arial" w:hAnsi="Arial" w:cs="Arial"/>
          <w:sz w:val="24"/>
          <w:szCs w:val="24"/>
        </w:rPr>
        <w:t>  Hertsmere’s mean gender pay gap is</w:t>
      </w:r>
      <w:r w:rsidR="00B71659">
        <w:rPr>
          <w:rFonts w:ascii="Arial" w:hAnsi="Arial" w:cs="Arial"/>
          <w:sz w:val="24"/>
          <w:szCs w:val="24"/>
        </w:rPr>
        <w:t xml:space="preserve"> -3</w:t>
      </w:r>
      <w:r w:rsidR="002052E3">
        <w:rPr>
          <w:rFonts w:ascii="Arial" w:hAnsi="Arial" w:cs="Arial"/>
          <w:sz w:val="24"/>
          <w:szCs w:val="24"/>
        </w:rPr>
        <w:t>.</w:t>
      </w:r>
      <w:r w:rsidR="00B71659">
        <w:rPr>
          <w:rFonts w:ascii="Arial" w:hAnsi="Arial" w:cs="Arial"/>
          <w:sz w:val="24"/>
          <w:szCs w:val="24"/>
        </w:rPr>
        <w:t>26</w:t>
      </w:r>
      <w:r w:rsidRPr="0012301F" w:rsidR="00695D5A">
        <w:rPr>
          <w:rFonts w:ascii="Arial" w:hAnsi="Arial" w:cs="Arial"/>
          <w:sz w:val="24"/>
          <w:szCs w:val="24"/>
        </w:rPr>
        <w:t xml:space="preserve">% in favour of </w:t>
      </w:r>
      <w:r w:rsidR="00B71659">
        <w:rPr>
          <w:rFonts w:ascii="Arial" w:hAnsi="Arial" w:cs="Arial"/>
          <w:sz w:val="24"/>
          <w:szCs w:val="24"/>
        </w:rPr>
        <w:t>wo</w:t>
      </w:r>
      <w:r w:rsidRPr="0012301F" w:rsidR="00695D5A">
        <w:rPr>
          <w:rFonts w:ascii="Arial" w:hAnsi="Arial" w:cs="Arial"/>
          <w:sz w:val="24"/>
          <w:szCs w:val="24"/>
        </w:rPr>
        <w:t xml:space="preserve">men and median pay gap is </w:t>
      </w:r>
      <w:r w:rsidR="00B71659">
        <w:rPr>
          <w:rFonts w:ascii="Arial" w:hAnsi="Arial" w:cs="Arial"/>
          <w:sz w:val="24"/>
          <w:szCs w:val="24"/>
        </w:rPr>
        <w:t>-2.41</w:t>
      </w:r>
      <w:r>
        <w:rPr>
          <w:rFonts w:ascii="Arial" w:hAnsi="Arial" w:cs="Arial"/>
          <w:sz w:val="24"/>
          <w:szCs w:val="24"/>
        </w:rPr>
        <w:t xml:space="preserve">% in favour of </w:t>
      </w:r>
      <w:r w:rsidR="00B71659">
        <w:rPr>
          <w:rFonts w:ascii="Arial" w:hAnsi="Arial" w:cs="Arial"/>
          <w:sz w:val="24"/>
          <w:szCs w:val="24"/>
        </w:rPr>
        <w:t>wo</w:t>
      </w:r>
      <w:r w:rsidRPr="0012301F" w:rsidR="00695D5A">
        <w:rPr>
          <w:rFonts w:ascii="Arial" w:hAnsi="Arial" w:cs="Arial"/>
          <w:sz w:val="24"/>
          <w:szCs w:val="24"/>
        </w:rPr>
        <w:t>men.  </w:t>
      </w:r>
      <w:r w:rsidR="00695D5A">
        <w:rPr>
          <w:rFonts w:ascii="Arial" w:hAnsi="Arial" w:cs="Arial"/>
          <w:sz w:val="24"/>
          <w:szCs w:val="24"/>
        </w:rPr>
        <w:t xml:space="preserve">The gap </w:t>
      </w:r>
      <w:r w:rsidR="006A230F">
        <w:rPr>
          <w:rFonts w:ascii="Arial" w:hAnsi="Arial" w:cs="Arial"/>
          <w:sz w:val="24"/>
          <w:szCs w:val="24"/>
        </w:rPr>
        <w:t xml:space="preserve">has </w:t>
      </w:r>
      <w:r>
        <w:rPr>
          <w:rFonts w:ascii="Arial" w:hAnsi="Arial" w:cs="Arial"/>
          <w:sz w:val="24"/>
          <w:szCs w:val="24"/>
        </w:rPr>
        <w:t>chang</w:t>
      </w:r>
      <w:r w:rsidR="006A230F">
        <w:rPr>
          <w:rFonts w:ascii="Arial" w:hAnsi="Arial" w:cs="Arial"/>
          <w:sz w:val="24"/>
          <w:szCs w:val="24"/>
        </w:rPr>
        <w:t>ed slightly since 202</w:t>
      </w:r>
      <w:r w:rsidR="00B71659">
        <w:rPr>
          <w:rFonts w:ascii="Arial" w:hAnsi="Arial" w:cs="Arial"/>
          <w:sz w:val="24"/>
          <w:szCs w:val="24"/>
        </w:rPr>
        <w:t>1</w:t>
      </w:r>
      <w:r w:rsidR="00695D5A">
        <w:rPr>
          <w:rFonts w:ascii="Arial" w:hAnsi="Arial" w:cs="Arial"/>
          <w:sz w:val="24"/>
          <w:szCs w:val="24"/>
        </w:rPr>
        <w:t xml:space="preserve"> when the respective rates were </w:t>
      </w:r>
      <w:r w:rsidR="006A230F">
        <w:rPr>
          <w:rFonts w:ascii="Arial" w:hAnsi="Arial" w:cs="Arial"/>
          <w:sz w:val="24"/>
          <w:szCs w:val="24"/>
        </w:rPr>
        <w:t>1</w:t>
      </w:r>
      <w:r w:rsidR="00B71659">
        <w:rPr>
          <w:rFonts w:ascii="Arial" w:hAnsi="Arial" w:cs="Arial"/>
          <w:sz w:val="24"/>
          <w:szCs w:val="24"/>
        </w:rPr>
        <w:t>.62</w:t>
      </w:r>
      <w:r w:rsidR="00695D5A">
        <w:rPr>
          <w:rFonts w:ascii="Arial" w:hAnsi="Arial" w:cs="Arial"/>
          <w:sz w:val="24"/>
          <w:szCs w:val="24"/>
        </w:rPr>
        <w:t xml:space="preserve">% and </w:t>
      </w:r>
      <w:r w:rsidR="00B71659">
        <w:rPr>
          <w:rFonts w:ascii="Arial" w:hAnsi="Arial" w:cs="Arial"/>
          <w:sz w:val="24"/>
          <w:szCs w:val="24"/>
        </w:rPr>
        <w:t>10.19</w:t>
      </w:r>
      <w:r w:rsidR="00695D5A">
        <w:rPr>
          <w:rFonts w:ascii="Arial" w:hAnsi="Arial" w:cs="Arial"/>
          <w:sz w:val="24"/>
          <w:szCs w:val="24"/>
        </w:rPr>
        <w:t>%</w:t>
      </w:r>
      <w:r w:rsidR="006A230F">
        <w:rPr>
          <w:rFonts w:ascii="Arial" w:hAnsi="Arial" w:cs="Arial"/>
          <w:sz w:val="24"/>
          <w:szCs w:val="24"/>
        </w:rPr>
        <w:t xml:space="preserve"> in favour of men.</w:t>
      </w:r>
    </w:p>
    <w:p w:rsidRPr="0012301F" w:rsidR="00695D5A" w:rsidP="00695D5A" w:rsidRDefault="00695D5A">
      <w:pPr>
        <w:spacing w:after="0" w:line="240" w:lineRule="auto"/>
        <w:rPr>
          <w:rFonts w:ascii="Arial" w:hAnsi="Arial" w:cs="Arial"/>
          <w:sz w:val="24"/>
          <w:szCs w:val="24"/>
        </w:rPr>
      </w:pPr>
    </w:p>
    <w:p w:rsidR="00695D5A" w:rsidP="00695D5A" w:rsidRDefault="00695D5A">
      <w:pPr>
        <w:spacing w:after="0" w:line="240" w:lineRule="auto"/>
        <w:rPr>
          <w:rFonts w:ascii="Arial" w:hAnsi="Arial" w:cs="Arial"/>
          <w:sz w:val="24"/>
          <w:szCs w:val="24"/>
        </w:rPr>
      </w:pPr>
      <w:r w:rsidRPr="0012301F">
        <w:rPr>
          <w:rFonts w:ascii="Arial" w:hAnsi="Arial" w:cs="Arial"/>
          <w:sz w:val="24"/>
          <w:szCs w:val="24"/>
        </w:rPr>
        <w:t>The mean hourly rat</w:t>
      </w:r>
      <w:r>
        <w:rPr>
          <w:rFonts w:ascii="Arial" w:hAnsi="Arial" w:cs="Arial"/>
          <w:sz w:val="24"/>
          <w:szCs w:val="24"/>
        </w:rPr>
        <w:t>e for men at Hertsmere is £</w:t>
      </w:r>
      <w:r w:rsidR="00B71659">
        <w:rPr>
          <w:rFonts w:ascii="Arial" w:hAnsi="Arial" w:cs="Arial"/>
          <w:sz w:val="24"/>
          <w:szCs w:val="24"/>
        </w:rPr>
        <w:t>17.91</w:t>
      </w:r>
      <w:r w:rsidR="006A6ECB">
        <w:rPr>
          <w:rFonts w:ascii="Arial" w:hAnsi="Arial" w:cs="Arial"/>
          <w:sz w:val="24"/>
          <w:szCs w:val="24"/>
        </w:rPr>
        <w:t xml:space="preserve"> compared to £</w:t>
      </w:r>
      <w:r w:rsidR="00B71659">
        <w:rPr>
          <w:rFonts w:ascii="Arial" w:hAnsi="Arial" w:cs="Arial"/>
          <w:sz w:val="24"/>
          <w:szCs w:val="24"/>
        </w:rPr>
        <w:t>18.50</w:t>
      </w:r>
      <w:r w:rsidRPr="0012301F">
        <w:rPr>
          <w:rFonts w:ascii="Arial" w:hAnsi="Arial" w:cs="Arial"/>
          <w:sz w:val="24"/>
          <w:szCs w:val="24"/>
        </w:rPr>
        <w:t xml:space="preserve"> for women.</w:t>
      </w:r>
      <w:r w:rsidR="00510059">
        <w:rPr>
          <w:rFonts w:ascii="Arial" w:hAnsi="Arial" w:cs="Arial"/>
          <w:sz w:val="24"/>
          <w:szCs w:val="24"/>
        </w:rPr>
        <w:t xml:space="preserve">  </w:t>
      </w:r>
      <w:r w:rsidRPr="0012301F">
        <w:rPr>
          <w:rFonts w:ascii="Arial" w:hAnsi="Arial" w:cs="Arial"/>
          <w:sz w:val="24"/>
          <w:szCs w:val="24"/>
        </w:rPr>
        <w:t>T</w:t>
      </w:r>
      <w:r>
        <w:rPr>
          <w:rFonts w:ascii="Arial" w:hAnsi="Arial" w:cs="Arial"/>
          <w:sz w:val="24"/>
          <w:szCs w:val="24"/>
        </w:rPr>
        <w:t>he median hourly rate for men at</w:t>
      </w:r>
      <w:r w:rsidRPr="0012301F">
        <w:rPr>
          <w:rFonts w:ascii="Arial" w:hAnsi="Arial" w:cs="Arial"/>
          <w:sz w:val="24"/>
          <w:szCs w:val="24"/>
        </w:rPr>
        <w:t xml:space="preserve"> Hertsmere is £</w:t>
      </w:r>
      <w:r w:rsidR="00B71659">
        <w:rPr>
          <w:rFonts w:ascii="Arial" w:hAnsi="Arial" w:cs="Arial"/>
          <w:sz w:val="24"/>
          <w:szCs w:val="24"/>
        </w:rPr>
        <w:t>15.15</w:t>
      </w:r>
      <w:r w:rsidRPr="0012301F">
        <w:rPr>
          <w:rFonts w:ascii="Arial" w:hAnsi="Arial" w:cs="Arial"/>
          <w:sz w:val="24"/>
          <w:szCs w:val="24"/>
        </w:rPr>
        <w:t xml:space="preserve"> compared to £</w:t>
      </w:r>
      <w:r w:rsidR="00B71659">
        <w:rPr>
          <w:rFonts w:ascii="Arial" w:hAnsi="Arial" w:cs="Arial"/>
          <w:sz w:val="24"/>
          <w:szCs w:val="24"/>
        </w:rPr>
        <w:t xml:space="preserve">15.52 </w:t>
      </w:r>
      <w:r w:rsidRPr="0012301F">
        <w:rPr>
          <w:rFonts w:ascii="Arial" w:hAnsi="Arial" w:cs="Arial"/>
          <w:sz w:val="24"/>
          <w:szCs w:val="24"/>
        </w:rPr>
        <w:t>for women.</w:t>
      </w:r>
    </w:p>
    <w:p w:rsidRPr="0012301F" w:rsidR="00695D5A" w:rsidP="00695D5A" w:rsidRDefault="00695D5A">
      <w:pPr>
        <w:spacing w:after="0" w:line="240" w:lineRule="auto"/>
        <w:rPr>
          <w:rFonts w:ascii="Arial" w:hAnsi="Arial" w:cs="Arial"/>
          <w:sz w:val="24"/>
          <w:szCs w:val="24"/>
        </w:rPr>
      </w:pPr>
    </w:p>
    <w:p w:rsidRPr="0012301F" w:rsidR="00695D5A" w:rsidP="00695D5A" w:rsidRDefault="00695D5A">
      <w:pPr>
        <w:spacing w:after="0" w:line="240" w:lineRule="auto"/>
        <w:rPr>
          <w:rFonts w:ascii="Arial" w:hAnsi="Arial" w:cs="Arial"/>
          <w:sz w:val="24"/>
          <w:szCs w:val="24"/>
        </w:rPr>
      </w:pPr>
      <w:r w:rsidRPr="0012301F">
        <w:rPr>
          <w:rFonts w:ascii="Arial" w:hAnsi="Arial" w:cs="Arial"/>
          <w:sz w:val="24"/>
          <w:szCs w:val="24"/>
        </w:rPr>
        <w:t xml:space="preserve">The bonuses paid at Hertsmere relate </w:t>
      </w:r>
      <w:r w:rsidR="009721F6">
        <w:rPr>
          <w:rFonts w:ascii="Arial" w:hAnsi="Arial" w:cs="Arial"/>
          <w:sz w:val="24"/>
          <w:szCs w:val="24"/>
        </w:rPr>
        <w:t xml:space="preserve">almost entirely </w:t>
      </w:r>
      <w:r w:rsidRPr="0012301F">
        <w:rPr>
          <w:rFonts w:ascii="Arial" w:hAnsi="Arial" w:cs="Arial"/>
          <w:sz w:val="24"/>
          <w:szCs w:val="24"/>
        </w:rPr>
        <w:t xml:space="preserve">to long service awards </w:t>
      </w:r>
      <w:r w:rsidR="009721F6">
        <w:rPr>
          <w:rFonts w:ascii="Arial" w:hAnsi="Arial" w:cs="Arial"/>
          <w:sz w:val="24"/>
          <w:szCs w:val="24"/>
        </w:rPr>
        <w:t>since i</w:t>
      </w:r>
      <w:r w:rsidR="006A6ECB">
        <w:rPr>
          <w:rFonts w:ascii="Arial" w:hAnsi="Arial" w:cs="Arial"/>
          <w:sz w:val="24"/>
          <w:szCs w:val="24"/>
        </w:rPr>
        <w:t xml:space="preserve">ncentive awards for attendance were paused </w:t>
      </w:r>
      <w:r w:rsidR="009721F6">
        <w:rPr>
          <w:rFonts w:ascii="Arial" w:hAnsi="Arial" w:cs="Arial"/>
          <w:sz w:val="24"/>
          <w:szCs w:val="24"/>
        </w:rPr>
        <w:t>during the majority of the period</w:t>
      </w:r>
      <w:r w:rsidR="006E3961">
        <w:rPr>
          <w:rFonts w:ascii="Arial" w:hAnsi="Arial" w:cs="Arial"/>
          <w:sz w:val="24"/>
          <w:szCs w:val="24"/>
        </w:rPr>
        <w:t>,</w:t>
      </w:r>
      <w:r w:rsidR="009721F6">
        <w:rPr>
          <w:rFonts w:ascii="Arial" w:hAnsi="Arial" w:cs="Arial"/>
          <w:sz w:val="24"/>
          <w:szCs w:val="24"/>
        </w:rPr>
        <w:t xml:space="preserve"> </w:t>
      </w:r>
      <w:r w:rsidR="006A6ECB">
        <w:rPr>
          <w:rFonts w:ascii="Arial" w:hAnsi="Arial" w:cs="Arial"/>
          <w:sz w:val="24"/>
          <w:szCs w:val="24"/>
        </w:rPr>
        <w:t>as a result of the Covid 19 pandemic</w:t>
      </w:r>
      <w:r w:rsidRPr="0012301F">
        <w:rPr>
          <w:rFonts w:ascii="Arial" w:hAnsi="Arial" w:cs="Arial"/>
          <w:sz w:val="24"/>
          <w:szCs w:val="24"/>
        </w:rPr>
        <w:t xml:space="preserve">.  The mean bonus </w:t>
      </w:r>
      <w:r>
        <w:rPr>
          <w:rFonts w:ascii="Arial" w:hAnsi="Arial" w:cs="Arial"/>
          <w:sz w:val="24"/>
          <w:szCs w:val="24"/>
        </w:rPr>
        <w:t xml:space="preserve">gender </w:t>
      </w:r>
      <w:r w:rsidRPr="0012301F">
        <w:rPr>
          <w:rFonts w:ascii="Arial" w:hAnsi="Arial" w:cs="Arial"/>
          <w:sz w:val="24"/>
          <w:szCs w:val="24"/>
        </w:rPr>
        <w:t xml:space="preserve">pay gap is </w:t>
      </w:r>
      <w:r w:rsidR="009721F6">
        <w:rPr>
          <w:rFonts w:ascii="Arial" w:hAnsi="Arial" w:cs="Arial"/>
          <w:sz w:val="24"/>
          <w:szCs w:val="24"/>
        </w:rPr>
        <w:t>-1.19</w:t>
      </w:r>
      <w:r w:rsidRPr="0012301F">
        <w:rPr>
          <w:rFonts w:ascii="Arial" w:hAnsi="Arial" w:cs="Arial"/>
          <w:sz w:val="24"/>
          <w:szCs w:val="24"/>
        </w:rPr>
        <w:t xml:space="preserve">% in favour of </w:t>
      </w:r>
      <w:r w:rsidR="00767D17">
        <w:rPr>
          <w:rFonts w:ascii="Arial" w:hAnsi="Arial" w:cs="Arial"/>
          <w:sz w:val="24"/>
          <w:szCs w:val="24"/>
        </w:rPr>
        <w:t>wo</w:t>
      </w:r>
      <w:r w:rsidRPr="0012301F">
        <w:rPr>
          <w:rFonts w:ascii="Arial" w:hAnsi="Arial" w:cs="Arial"/>
          <w:sz w:val="24"/>
          <w:szCs w:val="24"/>
        </w:rPr>
        <w:t>men.</w:t>
      </w:r>
      <w:r w:rsidR="00767D17">
        <w:rPr>
          <w:rFonts w:ascii="Arial" w:hAnsi="Arial" w:cs="Arial"/>
          <w:sz w:val="24"/>
          <w:szCs w:val="24"/>
        </w:rPr>
        <w:t xml:space="preserve">  </w:t>
      </w:r>
      <w:r w:rsidR="009721F6">
        <w:rPr>
          <w:rFonts w:ascii="Arial" w:hAnsi="Arial" w:cs="Arial"/>
          <w:sz w:val="24"/>
          <w:szCs w:val="24"/>
        </w:rPr>
        <w:t>Loyalty</w:t>
      </w:r>
      <w:r w:rsidR="00767D17">
        <w:rPr>
          <w:rFonts w:ascii="Arial" w:hAnsi="Arial" w:cs="Arial"/>
          <w:sz w:val="24"/>
          <w:szCs w:val="24"/>
        </w:rPr>
        <w:t xml:space="preserve"> awards were</w:t>
      </w:r>
      <w:r w:rsidR="009721F6">
        <w:rPr>
          <w:rFonts w:ascii="Arial" w:hAnsi="Arial" w:cs="Arial"/>
          <w:sz w:val="24"/>
          <w:szCs w:val="24"/>
        </w:rPr>
        <w:t xml:space="preserve"> paid this year for</w:t>
      </w:r>
      <w:r w:rsidR="00767D17">
        <w:rPr>
          <w:rFonts w:ascii="Arial" w:hAnsi="Arial" w:cs="Arial"/>
          <w:sz w:val="24"/>
          <w:szCs w:val="24"/>
        </w:rPr>
        <w:t xml:space="preserve"> 10</w:t>
      </w:r>
      <w:r w:rsidR="009721F6">
        <w:rPr>
          <w:rFonts w:ascii="Arial" w:hAnsi="Arial" w:cs="Arial"/>
          <w:sz w:val="24"/>
          <w:szCs w:val="24"/>
        </w:rPr>
        <w:t xml:space="preserve">, </w:t>
      </w:r>
      <w:r w:rsidR="00767D17">
        <w:rPr>
          <w:rFonts w:ascii="Arial" w:hAnsi="Arial" w:cs="Arial"/>
          <w:sz w:val="24"/>
          <w:szCs w:val="24"/>
        </w:rPr>
        <w:t>20</w:t>
      </w:r>
      <w:r w:rsidR="009721F6">
        <w:rPr>
          <w:rFonts w:ascii="Arial" w:hAnsi="Arial" w:cs="Arial"/>
          <w:sz w:val="24"/>
          <w:szCs w:val="24"/>
        </w:rPr>
        <w:t>, 30 and 40</w:t>
      </w:r>
      <w:r w:rsidR="00767D17">
        <w:rPr>
          <w:rFonts w:ascii="Arial" w:hAnsi="Arial" w:cs="Arial"/>
          <w:sz w:val="24"/>
          <w:szCs w:val="24"/>
        </w:rPr>
        <w:t xml:space="preserve"> years’</w:t>
      </w:r>
      <w:r w:rsidR="00541142">
        <w:rPr>
          <w:rFonts w:ascii="Arial" w:hAnsi="Arial" w:cs="Arial"/>
          <w:sz w:val="24"/>
          <w:szCs w:val="24"/>
        </w:rPr>
        <w:t xml:space="preserve"> service</w:t>
      </w:r>
      <w:r w:rsidR="009721F6">
        <w:rPr>
          <w:rFonts w:ascii="Arial" w:hAnsi="Arial" w:cs="Arial"/>
          <w:sz w:val="24"/>
          <w:szCs w:val="24"/>
        </w:rPr>
        <w:t>.  Only one wom</w:t>
      </w:r>
      <w:r w:rsidR="00596395">
        <w:rPr>
          <w:rFonts w:ascii="Arial" w:hAnsi="Arial" w:cs="Arial"/>
          <w:sz w:val="24"/>
          <w:szCs w:val="24"/>
        </w:rPr>
        <w:t>a</w:t>
      </w:r>
      <w:r w:rsidR="009721F6">
        <w:rPr>
          <w:rFonts w:ascii="Arial" w:hAnsi="Arial" w:cs="Arial"/>
          <w:sz w:val="24"/>
          <w:szCs w:val="24"/>
        </w:rPr>
        <w:t xml:space="preserve">n </w:t>
      </w:r>
      <w:r w:rsidR="002052E3">
        <w:rPr>
          <w:rFonts w:ascii="Arial" w:hAnsi="Arial" w:cs="Arial"/>
          <w:sz w:val="24"/>
          <w:szCs w:val="24"/>
        </w:rPr>
        <w:t xml:space="preserve">and no men </w:t>
      </w:r>
      <w:r w:rsidR="009721F6">
        <w:rPr>
          <w:rFonts w:ascii="Arial" w:hAnsi="Arial" w:cs="Arial"/>
          <w:sz w:val="24"/>
          <w:szCs w:val="24"/>
        </w:rPr>
        <w:t>received an award for 40 years</w:t>
      </w:r>
      <w:r w:rsidR="006E3961">
        <w:rPr>
          <w:rFonts w:ascii="Arial" w:hAnsi="Arial" w:cs="Arial"/>
          <w:sz w:val="24"/>
          <w:szCs w:val="24"/>
        </w:rPr>
        <w:t>’</w:t>
      </w:r>
      <w:r w:rsidR="009721F6">
        <w:rPr>
          <w:rFonts w:ascii="Arial" w:hAnsi="Arial" w:cs="Arial"/>
          <w:sz w:val="24"/>
          <w:szCs w:val="24"/>
        </w:rPr>
        <w:t xml:space="preserve"> service</w:t>
      </w:r>
      <w:r w:rsidR="006E3961">
        <w:rPr>
          <w:rFonts w:ascii="Arial" w:hAnsi="Arial" w:cs="Arial"/>
          <w:sz w:val="24"/>
          <w:szCs w:val="24"/>
        </w:rPr>
        <w:t>,</w:t>
      </w:r>
      <w:r w:rsidR="009721F6">
        <w:rPr>
          <w:rFonts w:ascii="Arial" w:hAnsi="Arial" w:cs="Arial"/>
          <w:sz w:val="24"/>
          <w:szCs w:val="24"/>
        </w:rPr>
        <w:t xml:space="preserve"> which has led to the mean bonus gender pay gap favour</w:t>
      </w:r>
      <w:r w:rsidR="006E3961">
        <w:rPr>
          <w:rFonts w:ascii="Arial" w:hAnsi="Arial" w:cs="Arial"/>
          <w:sz w:val="24"/>
          <w:szCs w:val="24"/>
        </w:rPr>
        <w:t>ing</w:t>
      </w:r>
      <w:r w:rsidR="009721F6">
        <w:rPr>
          <w:rFonts w:ascii="Arial" w:hAnsi="Arial" w:cs="Arial"/>
          <w:sz w:val="24"/>
          <w:szCs w:val="24"/>
        </w:rPr>
        <w:t xml:space="preserve"> women.</w:t>
      </w:r>
    </w:p>
    <w:p w:rsidRPr="0012301F" w:rsidR="00695D5A" w:rsidP="00695D5A" w:rsidRDefault="00695D5A">
      <w:pPr>
        <w:spacing w:after="0" w:line="240" w:lineRule="auto"/>
        <w:rPr>
          <w:rFonts w:ascii="Arial" w:hAnsi="Arial" w:cs="Arial"/>
          <w:sz w:val="24"/>
          <w:szCs w:val="24"/>
        </w:rPr>
      </w:pPr>
    </w:p>
    <w:p w:rsidRPr="0012301F" w:rsidR="00695D5A" w:rsidP="00695D5A" w:rsidRDefault="00695D5A">
      <w:pPr>
        <w:spacing w:after="0" w:line="240" w:lineRule="auto"/>
        <w:rPr>
          <w:rFonts w:ascii="Arial" w:hAnsi="Arial" w:cs="Arial"/>
          <w:sz w:val="24"/>
          <w:szCs w:val="24"/>
        </w:rPr>
      </w:pPr>
      <w:r w:rsidRPr="00231183">
        <w:rPr>
          <w:rFonts w:ascii="Arial" w:hAnsi="Arial" w:cs="Arial"/>
          <w:sz w:val="24"/>
          <w:szCs w:val="24"/>
        </w:rPr>
        <w:t xml:space="preserve">Results show that Hertsmere’s mean gender pay gap is not a concern.  Whilst the gender pay gap </w:t>
      </w:r>
      <w:r w:rsidRPr="00231183" w:rsidR="006A6ECB">
        <w:rPr>
          <w:rFonts w:ascii="Arial" w:hAnsi="Arial" w:cs="Arial"/>
          <w:sz w:val="24"/>
          <w:szCs w:val="24"/>
        </w:rPr>
        <w:t xml:space="preserve">has </w:t>
      </w:r>
      <w:r w:rsidRPr="00231183" w:rsidR="00231183">
        <w:rPr>
          <w:rFonts w:ascii="Arial" w:hAnsi="Arial" w:cs="Arial"/>
          <w:sz w:val="24"/>
          <w:szCs w:val="24"/>
        </w:rPr>
        <w:t>shift</w:t>
      </w:r>
      <w:r w:rsidRPr="00231183" w:rsidR="006A6ECB">
        <w:rPr>
          <w:rFonts w:ascii="Arial" w:hAnsi="Arial" w:cs="Arial"/>
          <w:sz w:val="24"/>
          <w:szCs w:val="24"/>
        </w:rPr>
        <w:t>ed from favour</w:t>
      </w:r>
      <w:r w:rsidRPr="00231183" w:rsidR="00231183">
        <w:rPr>
          <w:rFonts w:ascii="Arial" w:hAnsi="Arial" w:cs="Arial"/>
          <w:sz w:val="24"/>
          <w:szCs w:val="24"/>
        </w:rPr>
        <w:t>ing men in 202</w:t>
      </w:r>
      <w:r w:rsidR="006E3961">
        <w:rPr>
          <w:rFonts w:ascii="Arial" w:hAnsi="Arial" w:cs="Arial"/>
          <w:sz w:val="24"/>
          <w:szCs w:val="24"/>
        </w:rPr>
        <w:t>1</w:t>
      </w:r>
      <w:r w:rsidRPr="00231183" w:rsidR="006A6ECB">
        <w:rPr>
          <w:rFonts w:ascii="Arial" w:hAnsi="Arial" w:cs="Arial"/>
          <w:sz w:val="24"/>
          <w:szCs w:val="24"/>
        </w:rPr>
        <w:t xml:space="preserve"> to </w:t>
      </w:r>
      <w:r w:rsidR="006E3961">
        <w:rPr>
          <w:rFonts w:ascii="Arial" w:hAnsi="Arial" w:cs="Arial"/>
          <w:sz w:val="24"/>
          <w:szCs w:val="24"/>
        </w:rPr>
        <w:t>wo</w:t>
      </w:r>
      <w:r w:rsidRPr="00231183" w:rsidR="00231183">
        <w:rPr>
          <w:rFonts w:ascii="Arial" w:hAnsi="Arial" w:cs="Arial"/>
          <w:sz w:val="24"/>
          <w:szCs w:val="24"/>
        </w:rPr>
        <w:t>men in 202</w:t>
      </w:r>
      <w:r w:rsidR="006E3961">
        <w:rPr>
          <w:rFonts w:ascii="Arial" w:hAnsi="Arial" w:cs="Arial"/>
          <w:sz w:val="24"/>
          <w:szCs w:val="24"/>
        </w:rPr>
        <w:t>2</w:t>
      </w:r>
      <w:r w:rsidRPr="00231183" w:rsidR="00231183">
        <w:rPr>
          <w:rFonts w:ascii="Arial" w:hAnsi="Arial" w:cs="Arial"/>
          <w:sz w:val="24"/>
          <w:szCs w:val="24"/>
        </w:rPr>
        <w:t xml:space="preserve"> the difference is marginal</w:t>
      </w:r>
      <w:r w:rsidRPr="00231183">
        <w:rPr>
          <w:rFonts w:ascii="Arial" w:hAnsi="Arial" w:cs="Arial"/>
          <w:sz w:val="24"/>
          <w:szCs w:val="24"/>
        </w:rPr>
        <w:t xml:space="preserve">.  </w:t>
      </w:r>
      <w:r w:rsidR="00596395">
        <w:rPr>
          <w:rFonts w:ascii="Arial" w:hAnsi="Arial" w:cs="Arial"/>
          <w:sz w:val="24"/>
          <w:szCs w:val="24"/>
        </w:rPr>
        <w:t>A</w:t>
      </w:r>
      <w:r w:rsidRPr="00231183">
        <w:rPr>
          <w:rFonts w:ascii="Arial" w:hAnsi="Arial" w:cs="Arial"/>
          <w:sz w:val="24"/>
          <w:szCs w:val="24"/>
        </w:rPr>
        <w:t xml:space="preserve"> s</w:t>
      </w:r>
      <w:r w:rsidR="00596395">
        <w:rPr>
          <w:rFonts w:ascii="Arial" w:hAnsi="Arial" w:cs="Arial"/>
          <w:sz w:val="24"/>
          <w:szCs w:val="24"/>
        </w:rPr>
        <w:t xml:space="preserve">tructured job evaluation scheme, </w:t>
      </w:r>
      <w:r w:rsidRPr="00231183" w:rsidR="00596395">
        <w:rPr>
          <w:rFonts w:ascii="Arial" w:hAnsi="Arial" w:cs="Arial"/>
          <w:sz w:val="24"/>
          <w:szCs w:val="24"/>
        </w:rPr>
        <w:t xml:space="preserve">equal pay audits </w:t>
      </w:r>
      <w:r w:rsidRPr="00231183">
        <w:rPr>
          <w:rFonts w:ascii="Arial" w:hAnsi="Arial" w:cs="Arial"/>
          <w:sz w:val="24"/>
          <w:szCs w:val="24"/>
        </w:rPr>
        <w:t>and family friendly policies are key to Hertsmere’s</w:t>
      </w:r>
      <w:r w:rsidR="00323B7D">
        <w:rPr>
          <w:rFonts w:ascii="Arial" w:hAnsi="Arial" w:cs="Arial"/>
          <w:sz w:val="24"/>
          <w:szCs w:val="24"/>
        </w:rPr>
        <w:t xml:space="preserve"> positive</w:t>
      </w:r>
      <w:r w:rsidRPr="00231183">
        <w:rPr>
          <w:rFonts w:ascii="Arial" w:hAnsi="Arial" w:cs="Arial"/>
          <w:sz w:val="24"/>
          <w:szCs w:val="24"/>
        </w:rPr>
        <w:t xml:space="preserve"> results.  Whilst no specific action is identified</w:t>
      </w:r>
      <w:r w:rsidRPr="0012301F">
        <w:rPr>
          <w:rFonts w:ascii="Arial" w:hAnsi="Arial" w:cs="Arial"/>
          <w:sz w:val="24"/>
          <w:szCs w:val="24"/>
        </w:rPr>
        <w:t xml:space="preserve"> as being required, gender pay and equal pay will continue to be monitored closely to ensure that Hertsmere maintains this position.</w:t>
      </w:r>
    </w:p>
    <w:p w:rsidRPr="0012301F" w:rsidR="00695D5A" w:rsidP="00695D5A" w:rsidRDefault="00695D5A">
      <w:pPr>
        <w:spacing w:after="0" w:line="240" w:lineRule="auto"/>
        <w:rPr>
          <w:rFonts w:ascii="Arial" w:hAnsi="Arial" w:cs="Arial"/>
          <w:sz w:val="24"/>
          <w:szCs w:val="24"/>
        </w:rPr>
      </w:pPr>
    </w:p>
    <w:p w:rsidRPr="0012301F" w:rsidR="00695D5A" w:rsidP="00695D5A" w:rsidRDefault="00695D5A">
      <w:pPr>
        <w:autoSpaceDE w:val="0"/>
        <w:autoSpaceDN w:val="0"/>
        <w:adjustRightInd w:val="0"/>
        <w:spacing w:after="0" w:line="240" w:lineRule="auto"/>
        <w:rPr>
          <w:rFonts w:ascii="Arial" w:hAnsi="Arial" w:cs="Arial"/>
          <w:iCs/>
          <w:sz w:val="24"/>
          <w:szCs w:val="24"/>
        </w:rPr>
      </w:pPr>
      <w:r w:rsidRPr="0012301F">
        <w:rPr>
          <w:rFonts w:ascii="Arial" w:hAnsi="Arial" w:cs="Arial"/>
          <w:sz w:val="24"/>
          <w:szCs w:val="24"/>
        </w:rPr>
        <w:t xml:space="preserve">We confirm that the data provided is accurate and has been prepared in accordance with </w:t>
      </w:r>
      <w:r w:rsidRPr="0012301F">
        <w:rPr>
          <w:rFonts w:ascii="Arial" w:hAnsi="Arial" w:cs="Arial"/>
          <w:iCs/>
          <w:sz w:val="24"/>
          <w:szCs w:val="24"/>
        </w:rPr>
        <w:t>The Equality Act 2010 (Gender Pay Gap Information) Regulations 2017.</w:t>
      </w:r>
    </w:p>
    <w:p w:rsidRPr="0012301F" w:rsidR="00695D5A" w:rsidP="00695D5A" w:rsidRDefault="00695D5A">
      <w:pPr>
        <w:spacing w:after="0" w:line="240" w:lineRule="auto"/>
        <w:ind w:left="720"/>
        <w:jc w:val="both"/>
        <w:rPr>
          <w:rFonts w:ascii="Arial" w:hAnsi="Arial" w:cs="Arial"/>
          <w:sz w:val="24"/>
          <w:szCs w:val="24"/>
        </w:rPr>
      </w:pPr>
    </w:p>
    <w:p w:rsidRPr="0012301F" w:rsidR="00695D5A" w:rsidP="00695D5A" w:rsidRDefault="00695D5A">
      <w:pPr>
        <w:rPr>
          <w:rFonts w:ascii="Arial" w:hAnsi="Arial" w:cs="Arial"/>
          <w:sz w:val="24"/>
          <w:szCs w:val="24"/>
        </w:rPr>
      </w:pPr>
      <w:r>
        <w:rPr>
          <w:noProof/>
          <w:lang w:eastAsia="en-GB"/>
        </w:rPr>
        <w:drawing>
          <wp:inline distT="0" distB="0" distL="0" distR="0" wp14:anchorId="6AD05247" wp14:editId="54F165AD">
            <wp:extent cx="698500" cy="38349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722204" cy="396504"/>
                    </a:xfrm>
                    <a:prstGeom prst="rect">
                      <a:avLst/>
                    </a:prstGeom>
                  </pic:spPr>
                </pic:pic>
              </a:graphicData>
            </a:graphic>
          </wp:inline>
        </w:drawing>
      </w:r>
    </w:p>
    <w:p w:rsidRPr="0012301F" w:rsidR="00695D5A" w:rsidP="00695D5A" w:rsidRDefault="00695D5A">
      <w:pPr>
        <w:spacing w:after="0" w:line="240" w:lineRule="auto"/>
        <w:rPr>
          <w:rFonts w:ascii="Arial" w:hAnsi="Arial" w:cs="Arial"/>
          <w:sz w:val="24"/>
          <w:szCs w:val="24"/>
        </w:rPr>
      </w:pPr>
      <w:r w:rsidRPr="0012301F">
        <w:rPr>
          <w:rFonts w:ascii="Arial" w:hAnsi="Arial" w:cs="Arial"/>
          <w:sz w:val="24"/>
          <w:szCs w:val="24"/>
        </w:rPr>
        <w:t>Judith Fear</w:t>
      </w:r>
    </w:p>
    <w:p w:rsidR="00695D5A" w:rsidP="00695D5A" w:rsidRDefault="00695D5A">
      <w:pPr>
        <w:spacing w:after="0" w:line="240" w:lineRule="auto"/>
        <w:rPr>
          <w:rFonts w:ascii="Arial" w:hAnsi="Arial" w:cs="Arial"/>
          <w:sz w:val="24"/>
          <w:szCs w:val="24"/>
        </w:rPr>
      </w:pPr>
      <w:r w:rsidRPr="0012301F">
        <w:rPr>
          <w:rFonts w:ascii="Arial" w:hAnsi="Arial" w:cs="Arial"/>
          <w:sz w:val="24"/>
          <w:szCs w:val="24"/>
        </w:rPr>
        <w:t>Head of Human Resources and Customer Services</w:t>
      </w:r>
    </w:p>
    <w:p w:rsidR="00695D5A" w:rsidP="00695D5A" w:rsidRDefault="00695D5A">
      <w:pPr>
        <w:rPr>
          <w:rFonts w:cs="Arial"/>
          <w:sz w:val="12"/>
          <w:szCs w:val="12"/>
        </w:rPr>
      </w:pPr>
    </w:p>
    <w:p w:rsidR="00695D5A" w:rsidP="00695D5A" w:rsidRDefault="00695D5A">
      <w:pPr>
        <w:spacing w:after="0"/>
        <w:rPr>
          <w:rFonts w:cs="Arial"/>
          <w:sz w:val="16"/>
          <w:szCs w:val="16"/>
        </w:rPr>
      </w:pPr>
      <w:r w:rsidRPr="008C330B">
        <w:rPr>
          <w:rFonts w:cs="Arial"/>
          <w:sz w:val="16"/>
          <w:szCs w:val="16"/>
        </w:rPr>
        <w:t>*Median</w:t>
      </w:r>
      <w:r>
        <w:rPr>
          <w:rFonts w:cs="Arial"/>
          <w:sz w:val="16"/>
          <w:szCs w:val="16"/>
        </w:rPr>
        <w:t xml:space="preserve"> = middle number</w:t>
      </w:r>
    </w:p>
    <w:p w:rsidRPr="00510059" w:rsidR="003404ED" w:rsidP="00510059" w:rsidRDefault="00695D5A">
      <w:pPr>
        <w:spacing w:after="0"/>
        <w:rPr>
          <w:rFonts w:ascii="Arial" w:hAnsi="Arial" w:cs="Arial"/>
          <w:sz w:val="16"/>
          <w:szCs w:val="16"/>
        </w:rPr>
      </w:pPr>
      <w:r>
        <w:rPr>
          <w:rFonts w:cs="Arial"/>
          <w:sz w:val="16"/>
          <w:szCs w:val="16"/>
        </w:rPr>
        <w:t>**Mean = average</w:t>
      </w:r>
    </w:p>
    <w:sectPr w:rsidRPr="00510059" w:rsidR="003404ED" w:rsidSect="00907D0B">
      <w:footerReference w:type="default" r:id="rId7"/>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6F7D" w:rsidRDefault="00631649">
      <w:pPr>
        <w:spacing w:after="0" w:line="240" w:lineRule="auto"/>
      </w:pPr>
      <w:r>
        <w:separator/>
      </w:r>
    </w:p>
  </w:endnote>
  <w:endnote w:type="continuationSeparator" w:id="0">
    <w:p w:rsidR="005A6F7D" w:rsidRDefault="006316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80332029"/>
      <w:docPartObj>
        <w:docPartGallery w:val="Page Numbers (Bottom of Page)"/>
        <w:docPartUnique/>
      </w:docPartObj>
    </w:sdtPr>
    <w:sdtEndPr>
      <w:rPr>
        <w:noProof/>
      </w:rPr>
    </w:sdtEndPr>
    <w:sdtContent>
      <w:p w:rsidR="003A0912" w:rsidRDefault="00323B7D">
        <w:pPr>
          <w:pStyle w:val="Footer"/>
          <w:jc w:val="center"/>
        </w:pPr>
        <w:r>
          <w:fldChar w:fldCharType="begin"/>
        </w:r>
        <w:r>
          <w:instrText xml:space="preserve"> PAGE   \* MERGEFORMAT </w:instrText>
        </w:r>
        <w:r>
          <w:fldChar w:fldCharType="separate"/>
        </w:r>
        <w:r w:rsidR="006262EC">
          <w:rPr>
            <w:noProof/>
          </w:rPr>
          <w:t>1</w:t>
        </w:r>
        <w:r>
          <w:rPr>
            <w:noProof/>
          </w:rPr>
          <w:fldChar w:fldCharType="end"/>
        </w:r>
      </w:p>
    </w:sdtContent>
  </w:sdt>
  <w:p w:rsidR="003A0912" w:rsidRDefault="006262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6F7D" w:rsidRDefault="00631649">
      <w:pPr>
        <w:spacing w:after="0" w:line="240" w:lineRule="auto"/>
      </w:pPr>
      <w:r>
        <w:separator/>
      </w:r>
    </w:p>
  </w:footnote>
  <w:footnote w:type="continuationSeparator" w:id="0">
    <w:p w:rsidR="005A6F7D" w:rsidRDefault="0063164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1149"/>
    <w:rsid w:val="00006549"/>
    <w:rsid w:val="00081E7E"/>
    <w:rsid w:val="000C5247"/>
    <w:rsid w:val="001A6B00"/>
    <w:rsid w:val="002052E3"/>
    <w:rsid w:val="00231183"/>
    <w:rsid w:val="00323B7D"/>
    <w:rsid w:val="003404ED"/>
    <w:rsid w:val="003613FB"/>
    <w:rsid w:val="003E1D35"/>
    <w:rsid w:val="00434F9A"/>
    <w:rsid w:val="00441880"/>
    <w:rsid w:val="00510059"/>
    <w:rsid w:val="00541142"/>
    <w:rsid w:val="00596395"/>
    <w:rsid w:val="005A6F7D"/>
    <w:rsid w:val="006262EC"/>
    <w:rsid w:val="00631649"/>
    <w:rsid w:val="006664AA"/>
    <w:rsid w:val="00695D5A"/>
    <w:rsid w:val="006A230F"/>
    <w:rsid w:val="006A6ECB"/>
    <w:rsid w:val="006E3961"/>
    <w:rsid w:val="00767D17"/>
    <w:rsid w:val="007B1149"/>
    <w:rsid w:val="007E4973"/>
    <w:rsid w:val="00907195"/>
    <w:rsid w:val="00965361"/>
    <w:rsid w:val="009721F6"/>
    <w:rsid w:val="00A441DD"/>
    <w:rsid w:val="00B067AF"/>
    <w:rsid w:val="00B71659"/>
    <w:rsid w:val="00C72A91"/>
    <w:rsid w:val="00E41308"/>
    <w:rsid w:val="00E652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DCCDC4-B43D-4A11-8A12-6830A6B65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5D5A"/>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695D5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95D5A"/>
  </w:style>
  <w:style w:type="paragraph" w:styleId="ListParagraph">
    <w:name w:val="List Paragraph"/>
    <w:basedOn w:val="Normal"/>
    <w:uiPriority w:val="34"/>
    <w:qFormat/>
    <w:rsid w:val="00695D5A"/>
    <w:pPr>
      <w:spacing w:after="0" w:line="240" w:lineRule="auto"/>
      <w:ind w:left="720"/>
      <w:contextualSpacing/>
    </w:pPr>
    <w:rPr>
      <w:rFonts w:ascii="Arial" w:eastAsia="Times New Roman" w:hAnsi="Arial" w:cs="Times New Roman"/>
      <w:sz w:val="24"/>
      <w:szCs w:val="24"/>
      <w:lang w:eastAsia="en-GB"/>
    </w:rPr>
  </w:style>
  <w:style w:type="table" w:styleId="TableGrid">
    <w:name w:val="Table Grid"/>
    <w:basedOn w:val="TableNormal"/>
    <w:uiPriority w:val="39"/>
    <w:rsid w:val="00695D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559</Words>
  <Characters>3189</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Hertsmere Borough Council</Company>
  <LinksUpToDate>false</LinksUpToDate>
  <CharactersWithSpaces>3741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Gender Pay Gap Report 2022 (Word, 21Kb)</dc:title>
  <dc:subject>A review of the gender pay gap in 2022 at Hertsmere Borough Council (Word 21Kb)</dc:subject>
  <dc:creator>Clare Noble</dc:creator>
  <cp:keywords>
  </cp:keywords>
  <dc:description>
  </dc:description>
  <cp:lastModifiedBy>Gail Anderson</cp:lastModifiedBy>
  <cp:revision>2</cp:revision>
  <dcterms:created xsi:type="dcterms:W3CDTF">2023-01-18T14:43:00Z</dcterms:created>
  <dcterms:modified xsi:type="dcterms:W3CDTF">2023-01-18T14:48:13Z</dcterms:modified>
</cp:coreProperties>
</file>