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2301F" w:rsidR="00695D5A" w:rsidP="00695D5A" w:rsidRDefault="00695D5A">
      <w:pPr>
        <w:pStyle w:val="ListParagraph"/>
        <w:ind w:left="0"/>
        <w:jc w:val="both"/>
        <w:rPr>
          <w:rFonts w:cs="Arial"/>
          <w:b/>
        </w:rPr>
      </w:pPr>
      <w:bookmarkStart w:name="_GoBack" w:id="0"/>
      <w:bookmarkEnd w:id="0"/>
      <w:r w:rsidRPr="0012301F">
        <w:rPr>
          <w:rFonts w:cs="Arial"/>
          <w:b/>
        </w:rPr>
        <w:t>Hertsmere Borough Council Gender Pay Gap Report</w:t>
      </w:r>
      <w:r w:rsidR="00E41308">
        <w:rPr>
          <w:rFonts w:cs="Arial"/>
          <w:b/>
        </w:rPr>
        <w:t xml:space="preserve"> 202</w:t>
      </w:r>
      <w:r w:rsidR="00BC0EAA">
        <w:rPr>
          <w:rFonts w:cs="Arial"/>
          <w:b/>
        </w:rPr>
        <w:t>3</w:t>
      </w:r>
    </w:p>
    <w:p w:rsidRPr="0012301F" w:rsidR="00695D5A" w:rsidP="00695D5A" w:rsidRDefault="00695D5A">
      <w:pPr>
        <w:pStyle w:val="ListParagraph"/>
        <w:ind w:left="0"/>
        <w:jc w:val="both"/>
        <w:rPr>
          <w:rFonts w:cs="Arial"/>
          <w:b/>
        </w:rPr>
      </w:pP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Hertsmere Borough Council is required to publish information about its Gender Pay Gap in accordance with the</w:t>
      </w:r>
      <w:r w:rsidRPr="0012301F">
        <w:rPr>
          <w:rFonts w:ascii="Arial" w:hAnsi="Arial" w:cs="Arial"/>
          <w:sz w:val="24"/>
          <w:szCs w:val="24"/>
        </w:rPr>
        <w:t xml:space="preserve"> Public Sector Equality Duty</w:t>
      </w:r>
      <w:r>
        <w:rPr>
          <w:rFonts w:ascii="Arial" w:hAnsi="Arial" w:cs="Arial"/>
          <w:sz w:val="24"/>
          <w:szCs w:val="24"/>
        </w:rPr>
        <w:t xml:space="preserve"> on an annual basis.  The statistics required include the </w:t>
      </w:r>
      <w:r w:rsidRPr="0012301F">
        <w:rPr>
          <w:rFonts w:ascii="Arial" w:hAnsi="Arial" w:cs="Arial"/>
          <w:sz w:val="24"/>
          <w:szCs w:val="24"/>
        </w:rPr>
        <w:t xml:space="preserve">mean and median gender pay gaps; the mean and median gender bonus gaps; the proportion of </w:t>
      </w:r>
      <w:r w:rsidR="00C8207B">
        <w:rPr>
          <w:rFonts w:ascii="Arial" w:hAnsi="Arial" w:cs="Arial"/>
          <w:sz w:val="24"/>
          <w:szCs w:val="24"/>
        </w:rPr>
        <w:t>males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and </w:t>
      </w:r>
      <w:r w:rsidR="00C8207B">
        <w:rPr>
          <w:rFonts w:ascii="Arial" w:hAnsi="Arial" w:cs="Arial"/>
          <w:sz w:val="24"/>
          <w:szCs w:val="24"/>
        </w:rPr>
        <w:t>females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who received bonuses; and the proportions of male and female employees in each pay quartile. </w:t>
      </w: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301F">
        <w:rPr>
          <w:rFonts w:ascii="Arial" w:hAnsi="Arial" w:cs="Arial"/>
          <w:sz w:val="24"/>
          <w:szCs w:val="24"/>
        </w:rPr>
        <w:t xml:space="preserve">The gender pay gap shows the difference in the average hourly pay between all </w:t>
      </w:r>
      <w:r w:rsidR="00C8207B">
        <w:rPr>
          <w:rFonts w:ascii="Arial" w:hAnsi="Arial" w:cs="Arial"/>
          <w:sz w:val="24"/>
          <w:szCs w:val="24"/>
        </w:rPr>
        <w:t>males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and </w:t>
      </w:r>
      <w:r w:rsidR="00C8207B">
        <w:rPr>
          <w:rFonts w:ascii="Arial" w:hAnsi="Arial" w:cs="Arial"/>
          <w:sz w:val="24"/>
          <w:szCs w:val="24"/>
        </w:rPr>
        <w:t>females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in a workforce. If a workforce has a particularly high gender pay gap, this can indicate there may be a number of issues to deal with. The gender pay gap is different to equal pay. Equal pay deals with the pay differences between </w:t>
      </w:r>
      <w:r w:rsidR="00C8207B">
        <w:rPr>
          <w:rFonts w:ascii="Arial" w:hAnsi="Arial" w:cs="Arial"/>
          <w:sz w:val="24"/>
          <w:szCs w:val="24"/>
        </w:rPr>
        <w:t>males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and </w:t>
      </w:r>
      <w:r w:rsidR="00C8207B">
        <w:rPr>
          <w:rFonts w:ascii="Arial" w:hAnsi="Arial" w:cs="Arial"/>
          <w:sz w:val="24"/>
          <w:szCs w:val="24"/>
        </w:rPr>
        <w:t>females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who carry out the same jobs, similar jobs or work of equal value. It is unlawful to pay people unequally because they are a </w:t>
      </w:r>
      <w:r w:rsidR="00C8207B">
        <w:rPr>
          <w:rFonts w:ascii="Arial" w:hAnsi="Arial" w:cs="Arial"/>
          <w:sz w:val="24"/>
          <w:szCs w:val="24"/>
        </w:rPr>
        <w:t>male</w:t>
      </w:r>
      <w:r w:rsidRPr="0012301F" w:rsidR="00C8207B">
        <w:rPr>
          <w:rFonts w:ascii="Arial" w:hAnsi="Arial" w:cs="Arial"/>
          <w:sz w:val="24"/>
          <w:szCs w:val="24"/>
        </w:rPr>
        <w:t xml:space="preserve"> </w:t>
      </w:r>
      <w:r w:rsidRPr="0012301F">
        <w:rPr>
          <w:rFonts w:ascii="Arial" w:hAnsi="Arial" w:cs="Arial"/>
          <w:sz w:val="24"/>
          <w:szCs w:val="24"/>
        </w:rPr>
        <w:t xml:space="preserve">or a </w:t>
      </w:r>
      <w:r w:rsidR="00C8207B">
        <w:rPr>
          <w:rFonts w:ascii="Arial" w:hAnsi="Arial" w:cs="Arial"/>
          <w:sz w:val="24"/>
          <w:szCs w:val="24"/>
        </w:rPr>
        <w:t>female</w:t>
      </w:r>
      <w:r w:rsidRPr="0012301F">
        <w:rPr>
          <w:rFonts w:ascii="Arial" w:hAnsi="Arial" w:cs="Arial"/>
          <w:sz w:val="24"/>
          <w:szCs w:val="24"/>
        </w:rPr>
        <w:t>.</w:t>
      </w:r>
    </w:p>
    <w:p w:rsidRPr="0012301F" w:rsidR="00695D5A" w:rsidP="00695D5A" w:rsidRDefault="00695D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695D5A" w:rsidR="00695D5A" w:rsidP="00695D5A" w:rsidRDefault="00695D5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12301F">
        <w:rPr>
          <w:rFonts w:ascii="Arial" w:hAnsi="Arial" w:cs="Arial"/>
          <w:sz w:val="24"/>
          <w:szCs w:val="24"/>
        </w:rPr>
        <w:t xml:space="preserve">Hertsmere Borough Council’s gender pay gap report as at the snapshot date of </w:t>
      </w:r>
      <w:r w:rsidRPr="00695D5A">
        <w:rPr>
          <w:rFonts w:ascii="Arial" w:hAnsi="Arial" w:cs="Arial"/>
          <w:b/>
          <w:sz w:val="24"/>
          <w:szCs w:val="24"/>
        </w:rPr>
        <w:t xml:space="preserve">31 </w:t>
      </w:r>
    </w:p>
    <w:p w:rsidR="00695D5A" w:rsidP="00695D5A" w:rsidRDefault="00E41308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</w:t>
      </w:r>
      <w:r w:rsidR="00BC0EAA">
        <w:rPr>
          <w:rFonts w:ascii="Arial" w:hAnsi="Arial" w:cs="Arial"/>
          <w:b/>
          <w:sz w:val="24"/>
          <w:szCs w:val="24"/>
        </w:rPr>
        <w:t>2023</w:t>
      </w:r>
      <w:r w:rsidRPr="0012301F" w:rsidR="00BC0EAA">
        <w:rPr>
          <w:rFonts w:ascii="Arial" w:hAnsi="Arial" w:cs="Arial"/>
          <w:sz w:val="24"/>
          <w:szCs w:val="24"/>
        </w:rPr>
        <w:t xml:space="preserve"> </w:t>
      </w:r>
      <w:r w:rsidRPr="0012301F" w:rsidR="00695D5A">
        <w:rPr>
          <w:rFonts w:ascii="Arial" w:hAnsi="Arial" w:cs="Arial"/>
          <w:sz w:val="24"/>
          <w:szCs w:val="24"/>
        </w:rPr>
        <w:t>is below:</w:t>
      </w:r>
    </w:p>
    <w:p w:rsidR="00695D5A" w:rsidP="00695D5A" w:rsidRDefault="00695D5A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695D5A" w:rsidP="00695D5A" w:rsidRDefault="00695D5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Median</w:t>
      </w:r>
      <w:r w:rsidRPr="00250BC4">
        <w:rPr>
          <w:rFonts w:ascii="Arial" w:hAnsi="Arial" w:cs="Arial"/>
          <w:b/>
          <w:sz w:val="24"/>
          <w:szCs w:val="24"/>
        </w:rPr>
        <w:t xml:space="preserve"> and Mean Gender Pay Gap of</w:t>
      </w:r>
      <w:r w:rsidRPr="00250BC4">
        <w:rPr>
          <w:rFonts w:ascii="Arial" w:hAnsi="Arial" w:cs="Arial"/>
          <w:sz w:val="24"/>
          <w:szCs w:val="24"/>
        </w:rPr>
        <w:t xml:space="preserve"> </w:t>
      </w:r>
      <w:r w:rsidRPr="00250BC4">
        <w:rPr>
          <w:rFonts w:ascii="Arial" w:hAnsi="Arial" w:cs="Arial"/>
          <w:b/>
          <w:sz w:val="24"/>
          <w:szCs w:val="24"/>
        </w:rPr>
        <w:t>Hourly Pay Rate</w:t>
      </w:r>
    </w:p>
    <w:p w:rsidR="00695D5A" w:rsidP="00695D5A" w:rsidRDefault="00695D5A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</w:tblGrid>
      <w:tr w:rsidR="00695D5A" w:rsidTr="00695D5A">
        <w:tc>
          <w:tcPr>
            <w:tcW w:w="1503" w:type="dxa"/>
          </w:tcPr>
          <w:p w:rsidRPr="00695D5A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Mean for male</w:t>
            </w:r>
          </w:p>
        </w:tc>
        <w:tc>
          <w:tcPr>
            <w:tcW w:w="1504" w:type="dxa"/>
          </w:tcPr>
          <w:p w:rsidRPr="00695D5A" w:rsidR="00695D5A" w:rsidP="00695D5A" w:rsidRDefault="00395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£19.17</w:t>
            </w:r>
          </w:p>
        </w:tc>
        <w:tc>
          <w:tcPr>
            <w:tcW w:w="1503" w:type="dxa"/>
          </w:tcPr>
          <w:p w:rsidRPr="00695D5A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Mean for female</w:t>
            </w:r>
          </w:p>
        </w:tc>
        <w:tc>
          <w:tcPr>
            <w:tcW w:w="1504" w:type="dxa"/>
          </w:tcPr>
          <w:p w:rsidRPr="00695D5A" w:rsidR="00695D5A" w:rsidP="00695D5A" w:rsidRDefault="00395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£18.</w:t>
            </w:r>
            <w:r w:rsidR="00261B9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503" w:type="dxa"/>
          </w:tcPr>
          <w:p w:rsidRPr="00695D5A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Mean gender pay gap</w:t>
            </w:r>
          </w:p>
        </w:tc>
        <w:tc>
          <w:tcPr>
            <w:tcW w:w="1504" w:type="dxa"/>
          </w:tcPr>
          <w:p w:rsidRPr="00695D5A" w:rsidR="00695D5A" w:rsidP="00695D5A" w:rsidRDefault="00261B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4.45</w:t>
            </w:r>
            <w:r w:rsidR="0039509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95D5A" w:rsidTr="00695D5A">
        <w:tc>
          <w:tcPr>
            <w:tcW w:w="1503" w:type="dxa"/>
          </w:tcPr>
          <w:p w:rsidRPr="00695D5A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Median for Male</w:t>
            </w:r>
          </w:p>
        </w:tc>
        <w:tc>
          <w:tcPr>
            <w:tcW w:w="1504" w:type="dxa"/>
          </w:tcPr>
          <w:p w:rsidRPr="00695D5A" w:rsidR="00695D5A" w:rsidP="00695D5A" w:rsidRDefault="00395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£16.40</w:t>
            </w:r>
          </w:p>
        </w:tc>
        <w:tc>
          <w:tcPr>
            <w:tcW w:w="1503" w:type="dxa"/>
          </w:tcPr>
          <w:p w:rsidRPr="00695D5A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Median for female</w:t>
            </w:r>
          </w:p>
        </w:tc>
        <w:tc>
          <w:tcPr>
            <w:tcW w:w="1504" w:type="dxa"/>
          </w:tcPr>
          <w:p w:rsidRPr="00695D5A" w:rsidR="00695D5A" w:rsidP="00695D5A" w:rsidRDefault="00395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£15.97</w:t>
            </w:r>
          </w:p>
        </w:tc>
        <w:tc>
          <w:tcPr>
            <w:tcW w:w="1503" w:type="dxa"/>
          </w:tcPr>
          <w:p w:rsidRPr="00695D5A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Median gender pay gap</w:t>
            </w:r>
          </w:p>
        </w:tc>
        <w:tc>
          <w:tcPr>
            <w:tcW w:w="1504" w:type="dxa"/>
          </w:tcPr>
          <w:p w:rsidRPr="00695D5A" w:rsidR="00695D5A" w:rsidP="00695D5A" w:rsidRDefault="00395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2.60%</w:t>
            </w:r>
          </w:p>
        </w:tc>
      </w:tr>
    </w:tbl>
    <w:p w:rsidRPr="00250BC4" w:rsidR="001A6B00" w:rsidP="00695D5A" w:rsidRDefault="001A6B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301F">
        <w:rPr>
          <w:rFonts w:ascii="Arial" w:hAnsi="Arial" w:cs="Arial"/>
          <w:b/>
          <w:sz w:val="24"/>
          <w:szCs w:val="24"/>
        </w:rPr>
        <w:t>Bonuses Paid</w:t>
      </w: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301F">
        <w:rPr>
          <w:rFonts w:ascii="Arial" w:hAnsi="Arial" w:cs="Arial"/>
          <w:sz w:val="24"/>
          <w:szCs w:val="24"/>
        </w:rPr>
        <w:t>The</w:t>
      </w:r>
      <w:r w:rsidR="00F018AD">
        <w:rPr>
          <w:rFonts w:ascii="Arial" w:hAnsi="Arial" w:cs="Arial"/>
          <w:sz w:val="24"/>
          <w:szCs w:val="24"/>
        </w:rPr>
        <w:t xml:space="preserve"> reported</w:t>
      </w:r>
      <w:r w:rsidRPr="0012301F">
        <w:rPr>
          <w:rFonts w:ascii="Arial" w:hAnsi="Arial" w:cs="Arial"/>
          <w:sz w:val="24"/>
          <w:szCs w:val="24"/>
        </w:rPr>
        <w:t xml:space="preserve"> bonuses </w:t>
      </w:r>
      <w:r>
        <w:rPr>
          <w:rFonts w:ascii="Arial" w:hAnsi="Arial" w:cs="Arial"/>
          <w:sz w:val="24"/>
          <w:szCs w:val="24"/>
        </w:rPr>
        <w:t>r</w:t>
      </w:r>
      <w:r w:rsidR="001A6B00">
        <w:rPr>
          <w:rFonts w:ascii="Arial" w:hAnsi="Arial" w:cs="Arial"/>
          <w:sz w:val="24"/>
          <w:szCs w:val="24"/>
        </w:rPr>
        <w:t>elate to the period 1 April 202</w:t>
      </w:r>
      <w:r w:rsidR="00BC0EAA">
        <w:rPr>
          <w:rFonts w:ascii="Arial" w:hAnsi="Arial" w:cs="Arial"/>
          <w:sz w:val="24"/>
          <w:szCs w:val="24"/>
        </w:rPr>
        <w:t>2</w:t>
      </w:r>
      <w:r w:rsidR="001A6B00">
        <w:rPr>
          <w:rFonts w:ascii="Arial" w:hAnsi="Arial" w:cs="Arial"/>
          <w:sz w:val="24"/>
          <w:szCs w:val="24"/>
        </w:rPr>
        <w:t xml:space="preserve"> to 31 March 202</w:t>
      </w:r>
      <w:r w:rsidR="00BC0E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</w:tblGrid>
      <w:tr w:rsidRPr="00695D5A" w:rsidR="00695D5A" w:rsidTr="00283ADD">
        <w:tc>
          <w:tcPr>
            <w:tcW w:w="1503" w:type="dxa"/>
          </w:tcPr>
          <w:p w:rsidRPr="00695D5A" w:rsidR="00695D5A" w:rsidP="00283ADD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Mean for male</w:t>
            </w:r>
          </w:p>
        </w:tc>
        <w:tc>
          <w:tcPr>
            <w:tcW w:w="1504" w:type="dxa"/>
          </w:tcPr>
          <w:p w:rsidRPr="00695D5A" w:rsidR="00695D5A" w:rsidP="00283ADD" w:rsidRDefault="006928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261B9A">
              <w:rPr>
                <w:rFonts w:ascii="Arial" w:hAnsi="Arial" w:cs="Arial"/>
                <w:sz w:val="24"/>
                <w:szCs w:val="24"/>
              </w:rPr>
              <w:t>790.25</w:t>
            </w:r>
          </w:p>
        </w:tc>
        <w:tc>
          <w:tcPr>
            <w:tcW w:w="1503" w:type="dxa"/>
          </w:tcPr>
          <w:p w:rsidRPr="00695D5A" w:rsidR="00695D5A" w:rsidP="00283ADD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Mean for female</w:t>
            </w:r>
          </w:p>
        </w:tc>
        <w:tc>
          <w:tcPr>
            <w:tcW w:w="1504" w:type="dxa"/>
          </w:tcPr>
          <w:p w:rsidRPr="00695D5A" w:rsidR="00695D5A" w:rsidP="00283ADD" w:rsidRDefault="006928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£1544.97</w:t>
            </w:r>
          </w:p>
        </w:tc>
        <w:tc>
          <w:tcPr>
            <w:tcW w:w="1503" w:type="dxa"/>
          </w:tcPr>
          <w:p w:rsidRPr="00695D5A" w:rsidR="00695D5A" w:rsidP="00283ADD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Mean gender pay gap</w:t>
            </w:r>
          </w:p>
        </w:tc>
        <w:tc>
          <w:tcPr>
            <w:tcW w:w="1504" w:type="dxa"/>
          </w:tcPr>
          <w:p w:rsidRPr="00695D5A" w:rsidR="00695D5A" w:rsidP="00283ADD" w:rsidRDefault="00261B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13.7</w:t>
            </w:r>
            <w:r w:rsidR="0069283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Pr="00695D5A" w:rsidR="00695D5A" w:rsidTr="00283ADD">
        <w:tc>
          <w:tcPr>
            <w:tcW w:w="1503" w:type="dxa"/>
          </w:tcPr>
          <w:p w:rsidRPr="00695D5A" w:rsidR="00695D5A" w:rsidP="00283ADD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Median for Male</w:t>
            </w:r>
          </w:p>
        </w:tc>
        <w:tc>
          <w:tcPr>
            <w:tcW w:w="1504" w:type="dxa"/>
          </w:tcPr>
          <w:p w:rsidRPr="00695D5A" w:rsidR="00695D5A" w:rsidP="00283ADD" w:rsidRDefault="006928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261B9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03" w:type="dxa"/>
          </w:tcPr>
          <w:p w:rsidRPr="00695D5A" w:rsidR="00695D5A" w:rsidP="00283ADD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Median for female</w:t>
            </w:r>
          </w:p>
        </w:tc>
        <w:tc>
          <w:tcPr>
            <w:tcW w:w="1504" w:type="dxa"/>
          </w:tcPr>
          <w:p w:rsidRPr="00695D5A" w:rsidR="00695D5A" w:rsidP="00283ADD" w:rsidRDefault="006928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£1500</w:t>
            </w:r>
          </w:p>
        </w:tc>
        <w:tc>
          <w:tcPr>
            <w:tcW w:w="1503" w:type="dxa"/>
          </w:tcPr>
          <w:p w:rsidRPr="00695D5A" w:rsidR="00695D5A" w:rsidP="00283ADD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D5A">
              <w:rPr>
                <w:rFonts w:ascii="Arial" w:hAnsi="Arial" w:cs="Arial"/>
                <w:sz w:val="24"/>
                <w:szCs w:val="24"/>
              </w:rPr>
              <w:t>Median gender pay gap</w:t>
            </w:r>
          </w:p>
        </w:tc>
        <w:tc>
          <w:tcPr>
            <w:tcW w:w="1504" w:type="dxa"/>
          </w:tcPr>
          <w:p w:rsidRPr="00695D5A" w:rsidR="00695D5A" w:rsidP="00283ADD" w:rsidRDefault="00261B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6.25</w:t>
            </w:r>
            <w:r w:rsidR="0069283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95D5A" w:rsidTr="00695D5A">
        <w:tc>
          <w:tcPr>
            <w:tcW w:w="2254" w:type="dxa"/>
          </w:tcPr>
          <w:p w:rsidR="00695D5A" w:rsidP="00695D5A" w:rsidRDefault="00695D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Proportion of males with a bonus</w:t>
            </w:r>
          </w:p>
        </w:tc>
        <w:tc>
          <w:tcPr>
            <w:tcW w:w="2254" w:type="dxa"/>
          </w:tcPr>
          <w:p w:rsidR="00695D5A" w:rsidP="00695D5A" w:rsidRDefault="00692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88.36%</w:t>
            </w:r>
          </w:p>
        </w:tc>
        <w:tc>
          <w:tcPr>
            <w:tcW w:w="2254" w:type="dxa"/>
          </w:tcPr>
          <w:p w:rsidR="00695D5A" w:rsidP="00695D5A" w:rsidRDefault="00695D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Proportion of females with a bonus</w:t>
            </w:r>
          </w:p>
        </w:tc>
        <w:tc>
          <w:tcPr>
            <w:tcW w:w="2254" w:type="dxa"/>
          </w:tcPr>
          <w:p w:rsidR="00695D5A" w:rsidP="00695D5A" w:rsidRDefault="00692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93.13%</w:t>
            </w:r>
          </w:p>
        </w:tc>
      </w:tr>
    </w:tbl>
    <w:p w:rsidR="00695D5A" w:rsidP="00695D5A" w:rsidRDefault="00695D5A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12301F">
        <w:rPr>
          <w:rFonts w:ascii="Arial" w:hAnsi="Arial" w:cs="Arial"/>
          <w:sz w:val="24"/>
          <w:szCs w:val="24"/>
        </w:rPr>
        <w:br/>
      </w:r>
    </w:p>
    <w:p w:rsidR="00695D5A" w:rsidP="00695D5A" w:rsidRDefault="00695D5A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n-GB"/>
        </w:rPr>
      </w:pPr>
    </w:p>
    <w:p w:rsidR="00695D5A" w:rsidP="00695D5A" w:rsidRDefault="00695D5A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n-GB"/>
        </w:rPr>
      </w:pPr>
    </w:p>
    <w:p w:rsidR="00695D5A" w:rsidP="00695D5A" w:rsidRDefault="00695D5A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n-GB"/>
        </w:rPr>
      </w:pPr>
    </w:p>
    <w:p w:rsidR="00695D5A" w:rsidP="00695D5A" w:rsidRDefault="00695D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C29FE" w:rsidP="00695D5A" w:rsidRDefault="004C29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C29FE" w:rsidP="00695D5A" w:rsidRDefault="004C29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C29FE" w:rsidP="00695D5A" w:rsidRDefault="004C29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5D5A" w:rsidP="00695D5A" w:rsidRDefault="00695D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0BC4">
        <w:rPr>
          <w:rFonts w:ascii="Arial" w:hAnsi="Arial" w:cs="Arial"/>
          <w:b/>
          <w:sz w:val="24"/>
          <w:szCs w:val="24"/>
        </w:rPr>
        <w:lastRenderedPageBreak/>
        <w:t xml:space="preserve">Proportion of Male and Female employees in each pay quartile </w:t>
      </w:r>
    </w:p>
    <w:p w:rsidR="00695D5A" w:rsidP="00695D5A" w:rsidRDefault="00695D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1503"/>
        <w:gridCol w:w="1503"/>
        <w:gridCol w:w="1503"/>
      </w:tblGrid>
      <w:tr w:rsidR="00695D5A" w:rsidTr="00510059">
        <w:tc>
          <w:tcPr>
            <w:tcW w:w="1696" w:type="dxa"/>
          </w:tcPr>
          <w:p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Quartile</w:t>
            </w:r>
          </w:p>
        </w:tc>
        <w:tc>
          <w:tcPr>
            <w:tcW w:w="1308" w:type="dxa"/>
          </w:tcPr>
          <w:p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staff</w:t>
            </w:r>
          </w:p>
        </w:tc>
        <w:tc>
          <w:tcPr>
            <w:tcW w:w="1503" w:type="dxa"/>
          </w:tcPr>
          <w:p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Male</w:t>
            </w:r>
          </w:p>
        </w:tc>
        <w:tc>
          <w:tcPr>
            <w:tcW w:w="1503" w:type="dxa"/>
          </w:tcPr>
          <w:p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Female</w:t>
            </w:r>
          </w:p>
        </w:tc>
        <w:tc>
          <w:tcPr>
            <w:tcW w:w="1503" w:type="dxa"/>
          </w:tcPr>
          <w:p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Male %</w:t>
            </w:r>
          </w:p>
        </w:tc>
        <w:tc>
          <w:tcPr>
            <w:tcW w:w="1503" w:type="dxa"/>
          </w:tcPr>
          <w:p w:rsidR="00907195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Female %</w:t>
            </w:r>
          </w:p>
        </w:tc>
      </w:tr>
      <w:tr w:rsidR="00695D5A" w:rsidTr="00510059">
        <w:tc>
          <w:tcPr>
            <w:tcW w:w="1696" w:type="dxa"/>
          </w:tcPr>
          <w:p w:rsidRPr="00907195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195">
              <w:rPr>
                <w:rFonts w:ascii="Arial" w:hAnsi="Arial" w:cs="Arial"/>
                <w:sz w:val="24"/>
                <w:szCs w:val="24"/>
              </w:rPr>
              <w:t>Lower</w:t>
            </w:r>
          </w:p>
        </w:tc>
        <w:tc>
          <w:tcPr>
            <w:tcW w:w="1308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59.21%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40.79%</w:t>
            </w:r>
          </w:p>
        </w:tc>
      </w:tr>
      <w:tr w:rsidR="00695D5A" w:rsidTr="00510059">
        <w:tc>
          <w:tcPr>
            <w:tcW w:w="1696" w:type="dxa"/>
          </w:tcPr>
          <w:p w:rsidRPr="00907195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195">
              <w:rPr>
                <w:rFonts w:ascii="Arial" w:hAnsi="Arial" w:cs="Arial"/>
                <w:sz w:val="24"/>
                <w:szCs w:val="24"/>
              </w:rPr>
              <w:t>Lower middle</w:t>
            </w:r>
          </w:p>
        </w:tc>
        <w:tc>
          <w:tcPr>
            <w:tcW w:w="1308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35.53%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64.47%</w:t>
            </w:r>
          </w:p>
        </w:tc>
      </w:tr>
      <w:tr w:rsidR="00695D5A" w:rsidTr="00510059">
        <w:tc>
          <w:tcPr>
            <w:tcW w:w="1696" w:type="dxa"/>
          </w:tcPr>
          <w:p w:rsidRPr="00907195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195">
              <w:rPr>
                <w:rFonts w:ascii="Arial" w:hAnsi="Arial" w:cs="Arial"/>
                <w:sz w:val="24"/>
                <w:szCs w:val="24"/>
              </w:rPr>
              <w:t>Upper middle</w:t>
            </w:r>
          </w:p>
        </w:tc>
        <w:tc>
          <w:tcPr>
            <w:tcW w:w="1308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6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61B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61B9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1B9A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61B9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1B9A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95D5A" w:rsidTr="00510059">
        <w:tc>
          <w:tcPr>
            <w:tcW w:w="1696" w:type="dxa"/>
          </w:tcPr>
          <w:p w:rsidRPr="00907195" w:rsidR="00695D5A" w:rsidP="00695D5A" w:rsidRDefault="00695D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7195">
              <w:rPr>
                <w:rFonts w:ascii="Arial" w:hAnsi="Arial" w:cs="Arial"/>
                <w:sz w:val="24"/>
                <w:szCs w:val="24"/>
              </w:rPr>
              <w:t>Upper</w:t>
            </w:r>
          </w:p>
        </w:tc>
        <w:tc>
          <w:tcPr>
            <w:tcW w:w="1308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503" w:type="dxa"/>
          </w:tcPr>
          <w:p w:rsidRPr="00907195" w:rsidR="00695D5A" w:rsidP="00695D5A" w:rsidRDefault="00261B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61B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61B9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1B9A">
              <w:rPr>
                <w:rFonts w:ascii="Arial" w:hAnsi="Arial" w:cs="Arial"/>
                <w:sz w:val="24"/>
                <w:szCs w:val="24"/>
              </w:rPr>
              <w:t>63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03" w:type="dxa"/>
          </w:tcPr>
          <w:p w:rsidRPr="00907195" w:rsidR="00695D5A" w:rsidP="00695D5A" w:rsidRDefault="00FD68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61B9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1B9A">
              <w:rPr>
                <w:rFonts w:ascii="Arial" w:hAnsi="Arial" w:cs="Arial"/>
                <w:sz w:val="24"/>
                <w:szCs w:val="24"/>
              </w:rPr>
              <w:t>37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695D5A" w:rsidP="00907195" w:rsidRDefault="00695D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301F">
        <w:rPr>
          <w:rFonts w:ascii="Arial" w:hAnsi="Arial" w:cs="Arial"/>
          <w:b/>
          <w:bCs/>
          <w:sz w:val="24"/>
          <w:szCs w:val="24"/>
        </w:rPr>
        <w:t>Gender Pay Gap Analysis</w:t>
      </w:r>
    </w:p>
    <w:p w:rsidR="00B067AF" w:rsidP="00695D5A" w:rsidRDefault="00B067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395093" w:rsidR="00695D5A" w:rsidP="00695D5A" w:rsidRDefault="00B067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UK </w:t>
      </w:r>
      <w:r w:rsidRPr="0012301F" w:rsidR="00695D5A">
        <w:rPr>
          <w:rFonts w:ascii="Arial" w:hAnsi="Arial" w:cs="Arial"/>
          <w:sz w:val="24"/>
          <w:szCs w:val="24"/>
        </w:rPr>
        <w:t xml:space="preserve">gender pay gap </w:t>
      </w:r>
      <w:r w:rsidR="00695D5A">
        <w:rPr>
          <w:rFonts w:ascii="Arial" w:hAnsi="Arial" w:cs="Arial"/>
          <w:sz w:val="24"/>
          <w:szCs w:val="24"/>
        </w:rPr>
        <w:t xml:space="preserve">for </w:t>
      </w:r>
      <w:r w:rsidR="00BC0EAA">
        <w:rPr>
          <w:rFonts w:ascii="Arial" w:hAnsi="Arial" w:cs="Arial"/>
          <w:sz w:val="24"/>
          <w:szCs w:val="24"/>
        </w:rPr>
        <w:t xml:space="preserve">2023 </w:t>
      </w:r>
      <w:r w:rsidRPr="00B067AF" w:rsidR="00695D5A">
        <w:rPr>
          <w:rFonts w:ascii="Arial" w:hAnsi="Arial" w:cs="Arial"/>
          <w:sz w:val="24"/>
          <w:szCs w:val="24"/>
        </w:rPr>
        <w:t>reported by the Office for National Statistics</w:t>
      </w:r>
      <w:r w:rsidR="00323B7D">
        <w:rPr>
          <w:rFonts w:ascii="Arial" w:hAnsi="Arial" w:cs="Arial"/>
          <w:sz w:val="24"/>
          <w:szCs w:val="24"/>
        </w:rPr>
        <w:t xml:space="preserve">, </w:t>
      </w:r>
      <w:r w:rsidRPr="00B067AF" w:rsidR="00695D5A">
        <w:rPr>
          <w:rFonts w:ascii="Arial" w:hAnsi="Arial" w:cs="Arial"/>
          <w:sz w:val="24"/>
          <w:szCs w:val="24"/>
        </w:rPr>
        <w:t xml:space="preserve">is </w:t>
      </w:r>
      <w:r w:rsidR="00A552EA">
        <w:rPr>
          <w:rFonts w:ascii="Arial" w:hAnsi="Arial" w:cs="Arial"/>
          <w:sz w:val="24"/>
          <w:szCs w:val="24"/>
        </w:rPr>
        <w:t>14.3</w:t>
      </w:r>
      <w:r w:rsidRPr="00B067AF">
        <w:rPr>
          <w:rFonts w:ascii="Arial" w:hAnsi="Arial" w:cs="Arial"/>
          <w:sz w:val="24"/>
          <w:szCs w:val="24"/>
        </w:rPr>
        <w:t xml:space="preserve">% for all employees and </w:t>
      </w:r>
      <w:r w:rsidR="003D5B96">
        <w:rPr>
          <w:rFonts w:ascii="Arial" w:hAnsi="Arial" w:cs="Arial"/>
          <w:sz w:val="24"/>
          <w:szCs w:val="24"/>
        </w:rPr>
        <w:t>7.7</w:t>
      </w:r>
      <w:r w:rsidRPr="00B067AF" w:rsidR="00695D5A">
        <w:rPr>
          <w:rFonts w:ascii="Arial" w:hAnsi="Arial" w:cs="Arial"/>
          <w:sz w:val="24"/>
          <w:szCs w:val="24"/>
        </w:rPr>
        <w:t xml:space="preserve">% for full time staff (in favour of </w:t>
      </w:r>
      <w:r w:rsidR="006E6095">
        <w:rPr>
          <w:rFonts w:ascii="Arial" w:hAnsi="Arial" w:cs="Arial"/>
          <w:sz w:val="24"/>
          <w:szCs w:val="24"/>
        </w:rPr>
        <w:t>males</w:t>
      </w:r>
      <w:r w:rsidRPr="00B067AF" w:rsidR="00695D5A">
        <w:rPr>
          <w:rFonts w:ascii="Arial" w:hAnsi="Arial" w:cs="Arial"/>
          <w:sz w:val="24"/>
          <w:szCs w:val="24"/>
        </w:rPr>
        <w:t>).</w:t>
      </w:r>
      <w:r w:rsidRPr="0012301F" w:rsidR="00695D5A">
        <w:rPr>
          <w:rFonts w:ascii="Arial" w:hAnsi="Arial" w:cs="Arial"/>
          <w:sz w:val="24"/>
          <w:szCs w:val="24"/>
        </w:rPr>
        <w:t xml:space="preserve">  </w:t>
      </w:r>
      <w:r w:rsidRPr="00395093" w:rsidR="00695D5A">
        <w:rPr>
          <w:rFonts w:ascii="Arial" w:hAnsi="Arial" w:cs="Arial"/>
          <w:sz w:val="24"/>
          <w:szCs w:val="24"/>
        </w:rPr>
        <w:t>Hertsmere’s mean gender pay gap is</w:t>
      </w:r>
      <w:r w:rsidRPr="00395093" w:rsidR="00B71659">
        <w:rPr>
          <w:rFonts w:ascii="Arial" w:hAnsi="Arial" w:cs="Arial"/>
          <w:sz w:val="24"/>
          <w:szCs w:val="24"/>
        </w:rPr>
        <w:t xml:space="preserve"> </w:t>
      </w:r>
      <w:r w:rsidR="00261B9A">
        <w:rPr>
          <w:rFonts w:ascii="Arial" w:hAnsi="Arial" w:cs="Arial"/>
          <w:sz w:val="24"/>
          <w:szCs w:val="24"/>
        </w:rPr>
        <w:t>4.45</w:t>
      </w:r>
      <w:r w:rsidRPr="00395093" w:rsidR="00695D5A">
        <w:rPr>
          <w:rFonts w:ascii="Arial" w:hAnsi="Arial" w:cs="Arial"/>
          <w:sz w:val="24"/>
          <w:szCs w:val="24"/>
        </w:rPr>
        <w:t xml:space="preserve">% in favour of </w:t>
      </w:r>
      <w:r w:rsidR="00C8207B">
        <w:rPr>
          <w:rFonts w:ascii="Arial" w:hAnsi="Arial" w:cs="Arial"/>
          <w:sz w:val="24"/>
          <w:szCs w:val="24"/>
        </w:rPr>
        <w:t>males</w:t>
      </w:r>
      <w:r w:rsidRPr="00395093" w:rsidR="00C8207B">
        <w:rPr>
          <w:rFonts w:ascii="Arial" w:hAnsi="Arial" w:cs="Arial"/>
          <w:sz w:val="24"/>
          <w:szCs w:val="24"/>
        </w:rPr>
        <w:t xml:space="preserve"> </w:t>
      </w:r>
      <w:r w:rsidRPr="00395093" w:rsidR="00695D5A">
        <w:rPr>
          <w:rFonts w:ascii="Arial" w:hAnsi="Arial" w:cs="Arial"/>
          <w:sz w:val="24"/>
          <w:szCs w:val="24"/>
        </w:rPr>
        <w:t xml:space="preserve">and </w:t>
      </w:r>
      <w:r w:rsidRPr="00395093" w:rsidR="00395093">
        <w:rPr>
          <w:rFonts w:ascii="Arial" w:hAnsi="Arial" w:cs="Arial"/>
          <w:sz w:val="24"/>
          <w:szCs w:val="24"/>
        </w:rPr>
        <w:t xml:space="preserve">the </w:t>
      </w:r>
      <w:r w:rsidRPr="00395093" w:rsidR="00695D5A">
        <w:rPr>
          <w:rFonts w:ascii="Arial" w:hAnsi="Arial" w:cs="Arial"/>
          <w:sz w:val="24"/>
          <w:szCs w:val="24"/>
        </w:rPr>
        <w:t xml:space="preserve">median pay gap is </w:t>
      </w:r>
      <w:r w:rsidRPr="00395093" w:rsidR="00395093">
        <w:rPr>
          <w:rFonts w:ascii="Arial" w:hAnsi="Arial" w:cs="Arial"/>
          <w:sz w:val="24"/>
          <w:szCs w:val="24"/>
        </w:rPr>
        <w:t>2.60</w:t>
      </w:r>
      <w:r w:rsidRPr="00395093">
        <w:rPr>
          <w:rFonts w:ascii="Arial" w:hAnsi="Arial" w:cs="Arial"/>
          <w:sz w:val="24"/>
          <w:szCs w:val="24"/>
        </w:rPr>
        <w:t xml:space="preserve">% in favour of </w:t>
      </w:r>
      <w:r w:rsidR="00C8207B">
        <w:rPr>
          <w:rFonts w:ascii="Arial" w:hAnsi="Arial" w:cs="Arial"/>
          <w:sz w:val="24"/>
          <w:szCs w:val="24"/>
        </w:rPr>
        <w:t>males</w:t>
      </w:r>
      <w:r w:rsidRPr="00395093" w:rsidR="00695D5A">
        <w:rPr>
          <w:rFonts w:ascii="Arial" w:hAnsi="Arial" w:cs="Arial"/>
          <w:sz w:val="24"/>
          <w:szCs w:val="24"/>
        </w:rPr>
        <w:t xml:space="preserve">.  The gap </w:t>
      </w:r>
      <w:r w:rsidRPr="00395093" w:rsidR="006A230F">
        <w:rPr>
          <w:rFonts w:ascii="Arial" w:hAnsi="Arial" w:cs="Arial"/>
          <w:sz w:val="24"/>
          <w:szCs w:val="24"/>
        </w:rPr>
        <w:t xml:space="preserve">has </w:t>
      </w:r>
      <w:r w:rsidRPr="00395093">
        <w:rPr>
          <w:rFonts w:ascii="Arial" w:hAnsi="Arial" w:cs="Arial"/>
          <w:sz w:val="24"/>
          <w:szCs w:val="24"/>
        </w:rPr>
        <w:t>chang</w:t>
      </w:r>
      <w:r w:rsidRPr="00395093" w:rsidR="006A230F">
        <w:rPr>
          <w:rFonts w:ascii="Arial" w:hAnsi="Arial" w:cs="Arial"/>
          <w:sz w:val="24"/>
          <w:szCs w:val="24"/>
        </w:rPr>
        <w:t>ed since 202</w:t>
      </w:r>
      <w:r w:rsidRPr="00395093" w:rsidR="00395093">
        <w:rPr>
          <w:rFonts w:ascii="Arial" w:hAnsi="Arial" w:cs="Arial"/>
          <w:sz w:val="24"/>
          <w:szCs w:val="24"/>
        </w:rPr>
        <w:t>2</w:t>
      </w:r>
      <w:r w:rsidRPr="00395093" w:rsidR="00695D5A">
        <w:rPr>
          <w:rFonts w:ascii="Arial" w:hAnsi="Arial" w:cs="Arial"/>
          <w:sz w:val="24"/>
          <w:szCs w:val="24"/>
        </w:rPr>
        <w:t xml:space="preserve"> when the respective rates were </w:t>
      </w:r>
      <w:r w:rsidRPr="00395093" w:rsidR="00395093">
        <w:rPr>
          <w:rFonts w:ascii="Arial" w:hAnsi="Arial" w:cs="Arial"/>
          <w:sz w:val="24"/>
          <w:szCs w:val="24"/>
        </w:rPr>
        <w:t>3.26</w:t>
      </w:r>
      <w:r w:rsidRPr="00395093" w:rsidR="00695D5A">
        <w:rPr>
          <w:rFonts w:ascii="Arial" w:hAnsi="Arial" w:cs="Arial"/>
          <w:sz w:val="24"/>
          <w:szCs w:val="24"/>
        </w:rPr>
        <w:t xml:space="preserve">% and </w:t>
      </w:r>
      <w:r w:rsidRPr="00395093" w:rsidR="00395093">
        <w:rPr>
          <w:rFonts w:ascii="Arial" w:hAnsi="Arial" w:cs="Arial"/>
          <w:sz w:val="24"/>
          <w:szCs w:val="24"/>
        </w:rPr>
        <w:t>2.41</w:t>
      </w:r>
      <w:r w:rsidRPr="00395093" w:rsidR="00695D5A">
        <w:rPr>
          <w:rFonts w:ascii="Arial" w:hAnsi="Arial" w:cs="Arial"/>
          <w:sz w:val="24"/>
          <w:szCs w:val="24"/>
        </w:rPr>
        <w:t>%</w:t>
      </w:r>
      <w:r w:rsidRPr="00395093" w:rsidR="006A230F">
        <w:rPr>
          <w:rFonts w:ascii="Arial" w:hAnsi="Arial" w:cs="Arial"/>
          <w:sz w:val="24"/>
          <w:szCs w:val="24"/>
        </w:rPr>
        <w:t xml:space="preserve"> in favour of </w:t>
      </w:r>
      <w:r w:rsidR="00C8207B">
        <w:rPr>
          <w:rFonts w:ascii="Arial" w:hAnsi="Arial" w:cs="Arial"/>
          <w:sz w:val="24"/>
          <w:szCs w:val="24"/>
        </w:rPr>
        <w:t>females</w:t>
      </w:r>
      <w:r w:rsidRPr="00CF1333" w:rsidR="006A230F">
        <w:rPr>
          <w:rFonts w:ascii="Arial" w:hAnsi="Arial" w:cs="Arial"/>
          <w:sz w:val="24"/>
          <w:szCs w:val="24"/>
        </w:rPr>
        <w:t>.</w:t>
      </w:r>
      <w:r w:rsidRPr="00CF1333" w:rsidR="00CF1333">
        <w:rPr>
          <w:rFonts w:ascii="Arial" w:hAnsi="Arial" w:cs="Arial"/>
          <w:sz w:val="24"/>
          <w:szCs w:val="24"/>
        </w:rPr>
        <w:t xml:space="preserve">  This shift is as a result of the pay increases for </w:t>
      </w:r>
      <w:r w:rsidR="00FD68B0">
        <w:rPr>
          <w:rFonts w:ascii="Arial" w:hAnsi="Arial" w:cs="Arial"/>
          <w:sz w:val="24"/>
          <w:szCs w:val="24"/>
        </w:rPr>
        <w:t xml:space="preserve">the lowest paid </w:t>
      </w:r>
      <w:r w:rsidRPr="00CF1333" w:rsidR="00CF1333">
        <w:rPr>
          <w:rFonts w:ascii="Arial" w:hAnsi="Arial" w:cs="Arial"/>
          <w:sz w:val="24"/>
          <w:szCs w:val="24"/>
        </w:rPr>
        <w:t xml:space="preserve">site based staff within Street Scene </w:t>
      </w:r>
      <w:r w:rsidR="006E6095">
        <w:rPr>
          <w:rFonts w:ascii="Arial" w:hAnsi="Arial" w:cs="Arial"/>
          <w:sz w:val="24"/>
          <w:szCs w:val="24"/>
        </w:rPr>
        <w:t>S</w:t>
      </w:r>
      <w:r w:rsidRPr="00CF1333" w:rsidR="00CF1333">
        <w:rPr>
          <w:rFonts w:ascii="Arial" w:hAnsi="Arial" w:cs="Arial"/>
          <w:sz w:val="24"/>
          <w:szCs w:val="24"/>
        </w:rPr>
        <w:t>ervices</w:t>
      </w:r>
      <w:r w:rsidR="00C8207B">
        <w:rPr>
          <w:rFonts w:ascii="Arial" w:hAnsi="Arial" w:cs="Arial"/>
          <w:sz w:val="24"/>
          <w:szCs w:val="24"/>
        </w:rPr>
        <w:t>,</w:t>
      </w:r>
      <w:r w:rsidRPr="00CF1333" w:rsidR="00CF1333">
        <w:rPr>
          <w:rFonts w:ascii="Arial" w:hAnsi="Arial" w:cs="Arial"/>
          <w:sz w:val="24"/>
          <w:szCs w:val="24"/>
        </w:rPr>
        <w:t xml:space="preserve"> where </w:t>
      </w:r>
      <w:r w:rsidR="00C8207B">
        <w:rPr>
          <w:rFonts w:ascii="Arial" w:hAnsi="Arial" w:cs="Arial"/>
          <w:sz w:val="24"/>
          <w:szCs w:val="24"/>
        </w:rPr>
        <w:t xml:space="preserve">the </w:t>
      </w:r>
      <w:r w:rsidRPr="00CF1333" w:rsidR="00CF1333">
        <w:rPr>
          <w:rFonts w:ascii="Arial" w:hAnsi="Arial" w:cs="Arial"/>
          <w:sz w:val="24"/>
          <w:szCs w:val="24"/>
        </w:rPr>
        <w:t xml:space="preserve">employees are all </w:t>
      </w:r>
      <w:r w:rsidR="00EA35F6">
        <w:rPr>
          <w:rFonts w:ascii="Arial" w:hAnsi="Arial" w:cs="Arial"/>
          <w:sz w:val="24"/>
          <w:szCs w:val="24"/>
        </w:rPr>
        <w:t xml:space="preserve">currently </w:t>
      </w:r>
      <w:r w:rsidRPr="00CF1333" w:rsidR="00CF1333">
        <w:rPr>
          <w:rFonts w:ascii="Arial" w:hAnsi="Arial" w:cs="Arial"/>
          <w:sz w:val="24"/>
          <w:szCs w:val="24"/>
        </w:rPr>
        <w:t>male.</w:t>
      </w: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301F">
        <w:rPr>
          <w:rFonts w:ascii="Arial" w:hAnsi="Arial" w:cs="Arial"/>
          <w:sz w:val="24"/>
          <w:szCs w:val="24"/>
        </w:rPr>
        <w:t>The mean hourly rat</w:t>
      </w:r>
      <w:r>
        <w:rPr>
          <w:rFonts w:ascii="Arial" w:hAnsi="Arial" w:cs="Arial"/>
          <w:sz w:val="24"/>
          <w:szCs w:val="24"/>
        </w:rPr>
        <w:t xml:space="preserve">e for </w:t>
      </w:r>
      <w:r w:rsidR="00C8207B">
        <w:rPr>
          <w:rFonts w:ascii="Arial" w:hAnsi="Arial" w:cs="Arial"/>
          <w:sz w:val="24"/>
          <w:szCs w:val="24"/>
        </w:rPr>
        <w:t xml:space="preserve">males </w:t>
      </w:r>
      <w:r>
        <w:rPr>
          <w:rFonts w:ascii="Arial" w:hAnsi="Arial" w:cs="Arial"/>
          <w:sz w:val="24"/>
          <w:szCs w:val="24"/>
        </w:rPr>
        <w:t>at Hertsmere is £</w:t>
      </w:r>
      <w:r w:rsidR="00CF1333">
        <w:rPr>
          <w:rFonts w:ascii="Arial" w:hAnsi="Arial" w:cs="Arial"/>
          <w:sz w:val="24"/>
          <w:szCs w:val="24"/>
        </w:rPr>
        <w:t>19.17</w:t>
      </w:r>
      <w:r w:rsidR="006A6ECB">
        <w:rPr>
          <w:rFonts w:ascii="Arial" w:hAnsi="Arial" w:cs="Arial"/>
          <w:sz w:val="24"/>
          <w:szCs w:val="24"/>
        </w:rPr>
        <w:t xml:space="preserve"> compared to £</w:t>
      </w:r>
      <w:r w:rsidR="00CF1333">
        <w:rPr>
          <w:rFonts w:ascii="Arial" w:hAnsi="Arial" w:cs="Arial"/>
          <w:sz w:val="24"/>
          <w:szCs w:val="24"/>
        </w:rPr>
        <w:t>18.</w:t>
      </w:r>
      <w:r w:rsidR="00261B9A">
        <w:rPr>
          <w:rFonts w:ascii="Arial" w:hAnsi="Arial" w:cs="Arial"/>
          <w:sz w:val="24"/>
          <w:szCs w:val="24"/>
        </w:rPr>
        <w:t>32</w:t>
      </w:r>
      <w:r w:rsidRPr="0012301F">
        <w:rPr>
          <w:rFonts w:ascii="Arial" w:hAnsi="Arial" w:cs="Arial"/>
          <w:sz w:val="24"/>
          <w:szCs w:val="24"/>
        </w:rPr>
        <w:t xml:space="preserve"> for </w:t>
      </w:r>
      <w:r w:rsidR="00C8207B">
        <w:rPr>
          <w:rFonts w:ascii="Arial" w:hAnsi="Arial" w:cs="Arial"/>
          <w:sz w:val="24"/>
          <w:szCs w:val="24"/>
        </w:rPr>
        <w:t>females</w:t>
      </w:r>
      <w:r w:rsidRPr="0012301F">
        <w:rPr>
          <w:rFonts w:ascii="Arial" w:hAnsi="Arial" w:cs="Arial"/>
          <w:sz w:val="24"/>
          <w:szCs w:val="24"/>
        </w:rPr>
        <w:t>.</w:t>
      </w:r>
      <w:r w:rsidR="00510059">
        <w:rPr>
          <w:rFonts w:ascii="Arial" w:hAnsi="Arial" w:cs="Arial"/>
          <w:sz w:val="24"/>
          <w:szCs w:val="24"/>
        </w:rPr>
        <w:t xml:space="preserve">  </w:t>
      </w:r>
      <w:r w:rsidRPr="0012301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median hourly rate for </w:t>
      </w:r>
      <w:r w:rsidR="00C8207B">
        <w:rPr>
          <w:rFonts w:ascii="Arial" w:hAnsi="Arial" w:cs="Arial"/>
          <w:sz w:val="24"/>
          <w:szCs w:val="24"/>
        </w:rPr>
        <w:t xml:space="preserve">males </w:t>
      </w:r>
      <w:r>
        <w:rPr>
          <w:rFonts w:ascii="Arial" w:hAnsi="Arial" w:cs="Arial"/>
          <w:sz w:val="24"/>
          <w:szCs w:val="24"/>
        </w:rPr>
        <w:t>at</w:t>
      </w:r>
      <w:r w:rsidRPr="0012301F">
        <w:rPr>
          <w:rFonts w:ascii="Arial" w:hAnsi="Arial" w:cs="Arial"/>
          <w:sz w:val="24"/>
          <w:szCs w:val="24"/>
        </w:rPr>
        <w:t xml:space="preserve"> Hertsmere is £</w:t>
      </w:r>
      <w:r w:rsidR="00CF1333">
        <w:rPr>
          <w:rFonts w:ascii="Arial" w:hAnsi="Arial" w:cs="Arial"/>
          <w:sz w:val="24"/>
          <w:szCs w:val="24"/>
        </w:rPr>
        <w:t>16.40</w:t>
      </w:r>
      <w:r w:rsidRPr="0012301F">
        <w:rPr>
          <w:rFonts w:ascii="Arial" w:hAnsi="Arial" w:cs="Arial"/>
          <w:sz w:val="24"/>
          <w:szCs w:val="24"/>
        </w:rPr>
        <w:t xml:space="preserve"> compared to £</w:t>
      </w:r>
      <w:r w:rsidR="00CF1333">
        <w:rPr>
          <w:rFonts w:ascii="Arial" w:hAnsi="Arial" w:cs="Arial"/>
          <w:sz w:val="24"/>
          <w:szCs w:val="24"/>
        </w:rPr>
        <w:t xml:space="preserve">15.97 </w:t>
      </w:r>
      <w:r w:rsidRPr="0012301F">
        <w:rPr>
          <w:rFonts w:ascii="Arial" w:hAnsi="Arial" w:cs="Arial"/>
          <w:sz w:val="24"/>
          <w:szCs w:val="24"/>
        </w:rPr>
        <w:t xml:space="preserve">for </w:t>
      </w:r>
      <w:r w:rsidR="00C8207B">
        <w:rPr>
          <w:rFonts w:ascii="Arial" w:hAnsi="Arial" w:cs="Arial"/>
          <w:sz w:val="24"/>
          <w:szCs w:val="24"/>
        </w:rPr>
        <w:t>females</w:t>
      </w:r>
      <w:r w:rsidRPr="0012301F">
        <w:rPr>
          <w:rFonts w:ascii="Arial" w:hAnsi="Arial" w:cs="Arial"/>
          <w:sz w:val="24"/>
          <w:szCs w:val="24"/>
        </w:rPr>
        <w:t>.</w:t>
      </w:r>
    </w:p>
    <w:p w:rsidRPr="0012301F" w:rsidR="00695D5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EAA" w:rsidP="00695D5A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301F">
        <w:rPr>
          <w:rFonts w:ascii="Arial" w:hAnsi="Arial" w:cs="Arial"/>
          <w:sz w:val="24"/>
          <w:szCs w:val="24"/>
        </w:rPr>
        <w:t>The bonuses paid at Hertsmere relate</w:t>
      </w:r>
      <w:r w:rsidR="00BC0EAA">
        <w:rPr>
          <w:rFonts w:ascii="Arial" w:hAnsi="Arial" w:cs="Arial"/>
          <w:sz w:val="24"/>
          <w:szCs w:val="24"/>
        </w:rPr>
        <w:t xml:space="preserve"> to the following:</w:t>
      </w:r>
    </w:p>
    <w:p w:rsidR="00BC0EAA" w:rsidP="00695D5A" w:rsidRDefault="00BC0EA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Pr="00CF1333" w:rsidR="00261B9A" w:rsidTr="00261B9A">
        <w:tc>
          <w:tcPr>
            <w:tcW w:w="3005" w:type="dxa"/>
          </w:tcPr>
          <w:p w:rsidRPr="00CF1333" w:rsidR="00261B9A" w:rsidP="00695D5A" w:rsidRDefault="00261B9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1333">
              <w:rPr>
                <w:rFonts w:ascii="Arial" w:hAnsi="Arial" w:cs="Arial"/>
                <w:b/>
                <w:sz w:val="24"/>
                <w:szCs w:val="24"/>
              </w:rPr>
              <w:t>Type of bonus</w:t>
            </w:r>
          </w:p>
        </w:tc>
        <w:tc>
          <w:tcPr>
            <w:tcW w:w="5921" w:type="dxa"/>
          </w:tcPr>
          <w:p w:rsidRPr="00CF1333" w:rsidR="00261B9A" w:rsidP="00695D5A" w:rsidRDefault="00261B9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1333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261B9A" w:rsidTr="00261B9A">
        <w:tc>
          <w:tcPr>
            <w:tcW w:w="3005" w:type="dxa"/>
          </w:tcPr>
          <w:p w:rsidRPr="004C29FE" w:rsidR="00261B9A" w:rsidP="004C29FE" w:rsidRDefault="00261B9A">
            <w:pPr>
              <w:rPr>
                <w:rFonts w:cs="Arial"/>
              </w:rPr>
            </w:pPr>
            <w:r w:rsidRPr="004C29FE">
              <w:rPr>
                <w:rFonts w:ascii="Arial" w:hAnsi="Arial" w:cs="Arial"/>
                <w:sz w:val="24"/>
                <w:szCs w:val="24"/>
              </w:rPr>
              <w:t>Loyalty bonus</w:t>
            </w:r>
          </w:p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1" w:type="dxa"/>
          </w:tcPr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loyalty bonus is paid in vouchers  to employees achieving 10, 20, 30 and 40 years’ service at the Council</w:t>
            </w:r>
          </w:p>
        </w:tc>
      </w:tr>
      <w:tr w:rsidR="00261B9A" w:rsidTr="00261B9A">
        <w:tc>
          <w:tcPr>
            <w:tcW w:w="3005" w:type="dxa"/>
          </w:tcPr>
          <w:p w:rsidRPr="004C29FE" w:rsidR="00261B9A" w:rsidP="004C29FE" w:rsidRDefault="00261B9A">
            <w:pPr>
              <w:rPr>
                <w:rFonts w:cs="Arial"/>
              </w:rPr>
            </w:pPr>
            <w:r w:rsidRPr="004C29FE">
              <w:rPr>
                <w:rFonts w:ascii="Arial" w:hAnsi="Arial" w:cs="Arial"/>
                <w:sz w:val="24"/>
                <w:szCs w:val="24"/>
              </w:rPr>
              <w:t>Attendance bonus</w:t>
            </w:r>
          </w:p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1" w:type="dxa"/>
          </w:tcPr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 in vouchers for 1 and 2 years of excellent attendance</w:t>
            </w:r>
          </w:p>
        </w:tc>
      </w:tr>
      <w:tr w:rsidR="00261B9A" w:rsidTr="00261B9A">
        <w:tc>
          <w:tcPr>
            <w:tcW w:w="3005" w:type="dxa"/>
          </w:tcPr>
          <w:p w:rsidRPr="004C29FE" w:rsidR="00261B9A" w:rsidP="004C29FE" w:rsidRDefault="00261B9A">
            <w:pPr>
              <w:rPr>
                <w:rFonts w:cs="Arial"/>
              </w:rPr>
            </w:pPr>
            <w:r w:rsidRPr="004C29FE">
              <w:rPr>
                <w:rFonts w:ascii="Arial" w:hAnsi="Arial" w:cs="Arial"/>
                <w:sz w:val="24"/>
                <w:szCs w:val="24"/>
              </w:rPr>
              <w:t>Retention bonus</w:t>
            </w:r>
          </w:p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1" w:type="dxa"/>
          </w:tcPr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 to Refuse Loaders and Drivers in recognition of recruitment and retention difficulties in these areas</w:t>
            </w:r>
          </w:p>
        </w:tc>
      </w:tr>
      <w:tr w:rsidR="00261B9A" w:rsidTr="00261B9A">
        <w:tc>
          <w:tcPr>
            <w:tcW w:w="3005" w:type="dxa"/>
          </w:tcPr>
          <w:p w:rsidRPr="004C29FE" w:rsidR="00261B9A" w:rsidP="004C29FE" w:rsidRDefault="00261B9A">
            <w:pPr>
              <w:rPr>
                <w:rFonts w:cs="Arial"/>
              </w:rPr>
            </w:pPr>
            <w:r w:rsidRPr="004C29FE">
              <w:rPr>
                <w:rFonts w:ascii="Arial" w:hAnsi="Arial" w:cs="Arial"/>
                <w:sz w:val="24"/>
                <w:szCs w:val="24"/>
              </w:rPr>
              <w:t>Cost of Living bonus</w:t>
            </w:r>
          </w:p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1" w:type="dxa"/>
          </w:tcPr>
          <w:p w:rsidRPr="00694679" w:rsidR="00261B9A" w:rsidP="00695D5A" w:rsidRDefault="00261B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Paid as a </w:t>
            </w:r>
            <w:r w:rsidR="00056F84">
              <w:rPr>
                <w:rFonts w:ascii="Arial" w:hAnsi="Arial" w:cs="Arial"/>
                <w:sz w:val="24"/>
                <w:szCs w:val="24"/>
              </w:rPr>
              <w:t>‘</w:t>
            </w:r>
            <w:r>
              <w:rPr>
                <w:rFonts w:ascii="Arial" w:hAnsi="Arial" w:cs="Arial"/>
                <w:sz w:val="24"/>
                <w:szCs w:val="24"/>
              </w:rPr>
              <w:t>one off</w:t>
            </w:r>
            <w:r w:rsidR="00056F84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payment of £1500 to all members of staff earning less than £50,000 per annum</w:t>
            </w:r>
          </w:p>
        </w:tc>
      </w:tr>
    </w:tbl>
    <w:p w:rsidR="00BC0EAA" w:rsidP="00C8207B" w:rsidRDefault="00BC0E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5D5A" w:rsidP="00C8207B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830">
        <w:rPr>
          <w:rFonts w:ascii="Arial" w:hAnsi="Arial" w:cs="Arial"/>
          <w:sz w:val="24"/>
          <w:szCs w:val="24"/>
        </w:rPr>
        <w:t xml:space="preserve">The mean bonus gender pay gap is </w:t>
      </w:r>
      <w:r w:rsidR="00261B9A">
        <w:rPr>
          <w:rFonts w:ascii="Arial" w:hAnsi="Arial" w:cs="Arial"/>
          <w:sz w:val="24"/>
          <w:szCs w:val="24"/>
        </w:rPr>
        <w:t>13.7</w:t>
      </w:r>
      <w:r w:rsidRPr="00692830">
        <w:rPr>
          <w:rFonts w:ascii="Arial" w:hAnsi="Arial" w:cs="Arial"/>
          <w:sz w:val="24"/>
          <w:szCs w:val="24"/>
        </w:rPr>
        <w:t xml:space="preserve">% in favour of </w:t>
      </w:r>
      <w:r w:rsidR="00C8207B">
        <w:rPr>
          <w:rFonts w:ascii="Arial" w:hAnsi="Arial" w:cs="Arial"/>
          <w:sz w:val="24"/>
          <w:szCs w:val="24"/>
        </w:rPr>
        <w:t xml:space="preserve">males </w:t>
      </w:r>
      <w:r w:rsidR="00692830">
        <w:rPr>
          <w:rFonts w:ascii="Arial" w:hAnsi="Arial" w:cs="Arial"/>
          <w:sz w:val="24"/>
          <w:szCs w:val="24"/>
        </w:rPr>
        <w:t xml:space="preserve">and reflects the fact that retention payments were introduced </w:t>
      </w:r>
      <w:r w:rsidR="00EA35F6">
        <w:rPr>
          <w:rFonts w:ascii="Arial" w:hAnsi="Arial" w:cs="Arial"/>
          <w:sz w:val="24"/>
          <w:szCs w:val="24"/>
        </w:rPr>
        <w:t>to combat recruitment and retention difficulties in</w:t>
      </w:r>
      <w:r w:rsidR="00692830">
        <w:rPr>
          <w:rFonts w:ascii="Arial" w:hAnsi="Arial" w:cs="Arial"/>
          <w:sz w:val="24"/>
          <w:szCs w:val="24"/>
        </w:rPr>
        <w:t xml:space="preserve"> Street Scene Services </w:t>
      </w:r>
      <w:r w:rsidR="00EA35F6">
        <w:rPr>
          <w:rFonts w:ascii="Arial" w:hAnsi="Arial" w:cs="Arial"/>
          <w:sz w:val="24"/>
          <w:szCs w:val="24"/>
        </w:rPr>
        <w:t xml:space="preserve">for </w:t>
      </w:r>
      <w:r w:rsidR="00692830">
        <w:rPr>
          <w:rFonts w:ascii="Arial" w:hAnsi="Arial" w:cs="Arial"/>
          <w:sz w:val="24"/>
          <w:szCs w:val="24"/>
        </w:rPr>
        <w:t>site based staff</w:t>
      </w:r>
      <w:r w:rsidR="00261B9A">
        <w:rPr>
          <w:rFonts w:ascii="Arial" w:hAnsi="Arial" w:cs="Arial"/>
          <w:sz w:val="24"/>
          <w:szCs w:val="24"/>
        </w:rPr>
        <w:t xml:space="preserve">, where the employees are all </w:t>
      </w:r>
      <w:r w:rsidR="00EA35F6">
        <w:rPr>
          <w:rFonts w:ascii="Arial" w:hAnsi="Arial" w:cs="Arial"/>
          <w:sz w:val="24"/>
          <w:szCs w:val="24"/>
        </w:rPr>
        <w:t xml:space="preserve">currently </w:t>
      </w:r>
      <w:r w:rsidR="00261B9A">
        <w:rPr>
          <w:rFonts w:ascii="Arial" w:hAnsi="Arial" w:cs="Arial"/>
          <w:sz w:val="24"/>
          <w:szCs w:val="24"/>
        </w:rPr>
        <w:t>male</w:t>
      </w:r>
      <w:r w:rsidR="00692830">
        <w:rPr>
          <w:rFonts w:ascii="Arial" w:hAnsi="Arial" w:cs="Arial"/>
          <w:sz w:val="24"/>
          <w:szCs w:val="24"/>
        </w:rPr>
        <w:t xml:space="preserve">.  The median bonus paid to </w:t>
      </w:r>
      <w:r w:rsidR="00C8207B">
        <w:rPr>
          <w:rFonts w:ascii="Arial" w:hAnsi="Arial" w:cs="Arial"/>
          <w:sz w:val="24"/>
          <w:szCs w:val="24"/>
        </w:rPr>
        <w:t xml:space="preserve">males </w:t>
      </w:r>
      <w:r w:rsidR="00261B9A">
        <w:rPr>
          <w:rFonts w:ascii="Arial" w:hAnsi="Arial" w:cs="Arial"/>
          <w:sz w:val="24"/>
          <w:szCs w:val="24"/>
        </w:rPr>
        <w:t xml:space="preserve">in the period was £1600 </w:t>
      </w:r>
      <w:r w:rsidR="00692830">
        <w:rPr>
          <w:rFonts w:ascii="Arial" w:hAnsi="Arial" w:cs="Arial"/>
          <w:sz w:val="24"/>
          <w:szCs w:val="24"/>
        </w:rPr>
        <w:t xml:space="preserve">and </w:t>
      </w:r>
      <w:r w:rsidR="00261B9A">
        <w:rPr>
          <w:rFonts w:ascii="Arial" w:hAnsi="Arial" w:cs="Arial"/>
          <w:sz w:val="24"/>
          <w:szCs w:val="24"/>
        </w:rPr>
        <w:t xml:space="preserve">for </w:t>
      </w:r>
      <w:r w:rsidR="00C8207B">
        <w:rPr>
          <w:rFonts w:ascii="Arial" w:hAnsi="Arial" w:cs="Arial"/>
          <w:sz w:val="24"/>
          <w:szCs w:val="24"/>
        </w:rPr>
        <w:t xml:space="preserve">females </w:t>
      </w:r>
      <w:r w:rsidR="00692830">
        <w:rPr>
          <w:rFonts w:ascii="Arial" w:hAnsi="Arial" w:cs="Arial"/>
          <w:sz w:val="24"/>
          <w:szCs w:val="24"/>
        </w:rPr>
        <w:t>was £1500</w:t>
      </w:r>
      <w:r w:rsidR="00C8207B">
        <w:rPr>
          <w:rFonts w:ascii="Arial" w:hAnsi="Arial" w:cs="Arial"/>
          <w:sz w:val="24"/>
          <w:szCs w:val="24"/>
        </w:rPr>
        <w:t>,</w:t>
      </w:r>
      <w:r w:rsidR="00692830">
        <w:rPr>
          <w:rFonts w:ascii="Arial" w:hAnsi="Arial" w:cs="Arial"/>
          <w:sz w:val="24"/>
          <w:szCs w:val="24"/>
        </w:rPr>
        <w:t xml:space="preserve"> resulting in a </w:t>
      </w:r>
      <w:r w:rsidR="00261B9A">
        <w:rPr>
          <w:rFonts w:ascii="Arial" w:hAnsi="Arial" w:cs="Arial"/>
          <w:sz w:val="24"/>
          <w:szCs w:val="24"/>
        </w:rPr>
        <w:t>6.25</w:t>
      </w:r>
      <w:r w:rsidR="00692830">
        <w:rPr>
          <w:rFonts w:ascii="Arial" w:hAnsi="Arial" w:cs="Arial"/>
          <w:sz w:val="24"/>
          <w:szCs w:val="24"/>
        </w:rPr>
        <w:t xml:space="preserve">% </w:t>
      </w:r>
      <w:r w:rsidR="00EA35F6">
        <w:rPr>
          <w:rFonts w:ascii="Arial" w:hAnsi="Arial" w:cs="Arial"/>
          <w:sz w:val="24"/>
          <w:szCs w:val="24"/>
        </w:rPr>
        <w:t xml:space="preserve">median </w:t>
      </w:r>
      <w:r w:rsidR="00692830">
        <w:rPr>
          <w:rFonts w:ascii="Arial" w:hAnsi="Arial" w:cs="Arial"/>
          <w:sz w:val="24"/>
          <w:szCs w:val="24"/>
        </w:rPr>
        <w:t xml:space="preserve">bonus </w:t>
      </w:r>
      <w:r w:rsidR="00EA35F6">
        <w:rPr>
          <w:rFonts w:ascii="Arial" w:hAnsi="Arial" w:cs="Arial"/>
          <w:sz w:val="24"/>
          <w:szCs w:val="24"/>
        </w:rPr>
        <w:t xml:space="preserve">pay </w:t>
      </w:r>
      <w:r w:rsidR="00692830">
        <w:rPr>
          <w:rFonts w:ascii="Arial" w:hAnsi="Arial" w:cs="Arial"/>
          <w:sz w:val="24"/>
          <w:szCs w:val="24"/>
        </w:rPr>
        <w:t>gap</w:t>
      </w:r>
      <w:r w:rsidR="00EA35F6">
        <w:rPr>
          <w:rFonts w:ascii="Arial" w:hAnsi="Arial" w:cs="Arial"/>
          <w:sz w:val="24"/>
          <w:szCs w:val="24"/>
        </w:rPr>
        <w:t>.  This</w:t>
      </w:r>
      <w:r w:rsidR="00D27CBD">
        <w:rPr>
          <w:rFonts w:ascii="Arial" w:hAnsi="Arial" w:cs="Arial"/>
          <w:sz w:val="24"/>
          <w:szCs w:val="24"/>
        </w:rPr>
        <w:t xml:space="preserve"> </w:t>
      </w:r>
      <w:r w:rsidR="00692830">
        <w:rPr>
          <w:rFonts w:ascii="Arial" w:hAnsi="Arial" w:cs="Arial"/>
          <w:sz w:val="24"/>
          <w:szCs w:val="24"/>
        </w:rPr>
        <w:t xml:space="preserve">is representative of the fact that all staff </w:t>
      </w:r>
      <w:r w:rsidRPr="00692830" w:rsidR="00692830">
        <w:rPr>
          <w:rFonts w:ascii="Arial" w:hAnsi="Arial" w:cs="Arial"/>
          <w:sz w:val="24"/>
          <w:szCs w:val="24"/>
        </w:rPr>
        <w:t xml:space="preserve">earning below £50,000 were paid a </w:t>
      </w:r>
      <w:r w:rsidR="00261B9A">
        <w:rPr>
          <w:rFonts w:ascii="Arial" w:hAnsi="Arial" w:cs="Arial"/>
          <w:sz w:val="24"/>
          <w:szCs w:val="24"/>
        </w:rPr>
        <w:t xml:space="preserve">one-off </w:t>
      </w:r>
      <w:r w:rsidR="00C8207B">
        <w:rPr>
          <w:rFonts w:ascii="Arial" w:hAnsi="Arial" w:cs="Arial"/>
          <w:sz w:val="24"/>
          <w:szCs w:val="24"/>
        </w:rPr>
        <w:t>‘</w:t>
      </w:r>
      <w:r w:rsidRPr="00692830" w:rsidR="00692830">
        <w:rPr>
          <w:rFonts w:ascii="Arial" w:hAnsi="Arial" w:cs="Arial"/>
          <w:sz w:val="24"/>
          <w:szCs w:val="24"/>
        </w:rPr>
        <w:t>cost of living</w:t>
      </w:r>
      <w:r w:rsidR="00C8207B">
        <w:rPr>
          <w:rFonts w:ascii="Arial" w:hAnsi="Arial" w:cs="Arial"/>
          <w:sz w:val="24"/>
          <w:szCs w:val="24"/>
        </w:rPr>
        <w:t>’</w:t>
      </w:r>
      <w:r w:rsidRPr="00692830" w:rsidR="00692830">
        <w:rPr>
          <w:rFonts w:ascii="Arial" w:hAnsi="Arial" w:cs="Arial"/>
          <w:sz w:val="24"/>
          <w:szCs w:val="24"/>
        </w:rPr>
        <w:t xml:space="preserve"> bonus of £1500</w:t>
      </w:r>
      <w:r w:rsidR="00EA35F6">
        <w:rPr>
          <w:rFonts w:ascii="Arial" w:hAnsi="Arial" w:cs="Arial"/>
          <w:sz w:val="24"/>
          <w:szCs w:val="24"/>
        </w:rPr>
        <w:t xml:space="preserve"> and annual retention payments of £2000</w:t>
      </w:r>
      <w:r w:rsidR="00D27CBD">
        <w:rPr>
          <w:rFonts w:ascii="Arial" w:hAnsi="Arial" w:cs="Arial"/>
          <w:sz w:val="24"/>
          <w:szCs w:val="24"/>
        </w:rPr>
        <w:t xml:space="preserve"> per annum</w:t>
      </w:r>
      <w:r w:rsidR="00EA35F6">
        <w:rPr>
          <w:rFonts w:ascii="Arial" w:hAnsi="Arial" w:cs="Arial"/>
          <w:sz w:val="24"/>
          <w:szCs w:val="24"/>
        </w:rPr>
        <w:t xml:space="preserve"> were paid to HGV Drivers and Loader</w:t>
      </w:r>
      <w:r w:rsidR="00D27CBD">
        <w:rPr>
          <w:rFonts w:ascii="Arial" w:hAnsi="Arial" w:cs="Arial"/>
          <w:sz w:val="24"/>
          <w:szCs w:val="24"/>
        </w:rPr>
        <w:t>s in Street Scene Services</w:t>
      </w:r>
      <w:r w:rsidRPr="00692830" w:rsidR="00692830">
        <w:rPr>
          <w:rFonts w:ascii="Arial" w:hAnsi="Arial" w:cs="Arial"/>
          <w:sz w:val="24"/>
          <w:szCs w:val="24"/>
        </w:rPr>
        <w:t>.</w:t>
      </w:r>
      <w:r w:rsidR="00C8207B">
        <w:rPr>
          <w:rFonts w:ascii="Arial" w:hAnsi="Arial" w:cs="Arial"/>
          <w:sz w:val="24"/>
          <w:szCs w:val="24"/>
        </w:rPr>
        <w:t xml:space="preserve">  The proportion of females receiving a bonus is greater than for males, due to a larger number of females receiving loyalty and attendance awards during the period.</w:t>
      </w:r>
    </w:p>
    <w:p w:rsidRPr="00692830" w:rsidR="00C8207B" w:rsidP="00C8207B" w:rsidRDefault="00C820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692830" w:rsidR="00695D5A" w:rsidP="00C8207B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2830">
        <w:rPr>
          <w:rFonts w:ascii="Arial" w:hAnsi="Arial" w:cs="Arial"/>
          <w:sz w:val="24"/>
          <w:szCs w:val="24"/>
        </w:rPr>
        <w:lastRenderedPageBreak/>
        <w:t xml:space="preserve">Whilst the gender pay gap </w:t>
      </w:r>
      <w:r w:rsidRPr="00692830" w:rsidR="006A6ECB">
        <w:rPr>
          <w:rFonts w:ascii="Arial" w:hAnsi="Arial" w:cs="Arial"/>
          <w:sz w:val="24"/>
          <w:szCs w:val="24"/>
        </w:rPr>
        <w:t xml:space="preserve">has </w:t>
      </w:r>
      <w:r w:rsidRPr="00692830" w:rsidR="00231183">
        <w:rPr>
          <w:rFonts w:ascii="Arial" w:hAnsi="Arial" w:cs="Arial"/>
          <w:sz w:val="24"/>
          <w:szCs w:val="24"/>
        </w:rPr>
        <w:t>shift</w:t>
      </w:r>
      <w:r w:rsidRPr="00692830" w:rsidR="006A6ECB">
        <w:rPr>
          <w:rFonts w:ascii="Arial" w:hAnsi="Arial" w:cs="Arial"/>
          <w:sz w:val="24"/>
          <w:szCs w:val="24"/>
        </w:rPr>
        <w:t>ed from favour</w:t>
      </w:r>
      <w:r w:rsidRPr="00692830" w:rsidR="00231183">
        <w:rPr>
          <w:rFonts w:ascii="Arial" w:hAnsi="Arial" w:cs="Arial"/>
          <w:sz w:val="24"/>
          <w:szCs w:val="24"/>
        </w:rPr>
        <w:t xml:space="preserve">ing </w:t>
      </w:r>
      <w:r w:rsidR="00C8207B">
        <w:rPr>
          <w:rFonts w:ascii="Arial" w:hAnsi="Arial" w:cs="Arial"/>
          <w:sz w:val="24"/>
          <w:szCs w:val="24"/>
        </w:rPr>
        <w:t>females</w:t>
      </w:r>
      <w:r w:rsidRPr="00692830" w:rsidR="00C8207B">
        <w:rPr>
          <w:rFonts w:ascii="Arial" w:hAnsi="Arial" w:cs="Arial"/>
          <w:sz w:val="24"/>
          <w:szCs w:val="24"/>
        </w:rPr>
        <w:t xml:space="preserve"> </w:t>
      </w:r>
      <w:r w:rsidRPr="00692830" w:rsidR="00231183">
        <w:rPr>
          <w:rFonts w:ascii="Arial" w:hAnsi="Arial" w:cs="Arial"/>
          <w:sz w:val="24"/>
          <w:szCs w:val="24"/>
        </w:rPr>
        <w:t>in 202</w:t>
      </w:r>
      <w:r w:rsidRPr="00692830" w:rsidR="00692830">
        <w:rPr>
          <w:rFonts w:ascii="Arial" w:hAnsi="Arial" w:cs="Arial"/>
          <w:sz w:val="24"/>
          <w:szCs w:val="24"/>
        </w:rPr>
        <w:t>2</w:t>
      </w:r>
      <w:r w:rsidRPr="00692830" w:rsidR="006A6ECB">
        <w:rPr>
          <w:rFonts w:ascii="Arial" w:hAnsi="Arial" w:cs="Arial"/>
          <w:sz w:val="24"/>
          <w:szCs w:val="24"/>
        </w:rPr>
        <w:t xml:space="preserve"> to </w:t>
      </w:r>
      <w:r w:rsidR="00C8207B">
        <w:rPr>
          <w:rFonts w:ascii="Arial" w:hAnsi="Arial" w:cs="Arial"/>
          <w:sz w:val="24"/>
          <w:szCs w:val="24"/>
        </w:rPr>
        <w:t>males</w:t>
      </w:r>
      <w:r w:rsidRPr="00692830" w:rsidR="00C8207B">
        <w:rPr>
          <w:rFonts w:ascii="Arial" w:hAnsi="Arial" w:cs="Arial"/>
          <w:sz w:val="24"/>
          <w:szCs w:val="24"/>
        </w:rPr>
        <w:t xml:space="preserve"> </w:t>
      </w:r>
      <w:r w:rsidRPr="00692830" w:rsidR="00231183">
        <w:rPr>
          <w:rFonts w:ascii="Arial" w:hAnsi="Arial" w:cs="Arial"/>
          <w:sz w:val="24"/>
          <w:szCs w:val="24"/>
        </w:rPr>
        <w:t>in 202</w:t>
      </w:r>
      <w:r w:rsidRPr="00692830" w:rsidR="00692830">
        <w:rPr>
          <w:rFonts w:ascii="Arial" w:hAnsi="Arial" w:cs="Arial"/>
          <w:sz w:val="24"/>
          <w:szCs w:val="24"/>
        </w:rPr>
        <w:t>3</w:t>
      </w:r>
      <w:r w:rsidR="00692830">
        <w:rPr>
          <w:rFonts w:ascii="Arial" w:hAnsi="Arial" w:cs="Arial"/>
          <w:sz w:val="24"/>
          <w:szCs w:val="24"/>
        </w:rPr>
        <w:t>,</w:t>
      </w:r>
      <w:r w:rsidRPr="00692830" w:rsidR="00231183">
        <w:rPr>
          <w:rFonts w:ascii="Arial" w:hAnsi="Arial" w:cs="Arial"/>
          <w:sz w:val="24"/>
          <w:szCs w:val="24"/>
        </w:rPr>
        <w:t xml:space="preserve"> the difference is </w:t>
      </w:r>
      <w:r w:rsidRPr="00692830" w:rsidR="00692830">
        <w:rPr>
          <w:rFonts w:ascii="Arial" w:hAnsi="Arial" w:cs="Arial"/>
          <w:sz w:val="24"/>
          <w:szCs w:val="24"/>
        </w:rPr>
        <w:t>within a reasonable range</w:t>
      </w:r>
      <w:r w:rsidR="00A552EA">
        <w:rPr>
          <w:rFonts w:ascii="Arial" w:hAnsi="Arial" w:cs="Arial"/>
          <w:sz w:val="24"/>
          <w:szCs w:val="24"/>
        </w:rPr>
        <w:t xml:space="preserve"> and is far below the UK gender pay gap reported by the Office for National Statistics </w:t>
      </w:r>
      <w:r w:rsidRPr="00692830" w:rsidR="00692830">
        <w:rPr>
          <w:rFonts w:ascii="Arial" w:hAnsi="Arial" w:cs="Arial"/>
          <w:sz w:val="24"/>
          <w:szCs w:val="24"/>
        </w:rPr>
        <w:t xml:space="preserve">and is </w:t>
      </w:r>
      <w:r w:rsidR="00A552EA">
        <w:rPr>
          <w:rFonts w:ascii="Arial" w:hAnsi="Arial" w:cs="Arial"/>
          <w:sz w:val="24"/>
          <w:szCs w:val="24"/>
        </w:rPr>
        <w:t xml:space="preserve">therefore </w:t>
      </w:r>
      <w:r w:rsidRPr="00692830" w:rsidR="00692830">
        <w:rPr>
          <w:rFonts w:ascii="Arial" w:hAnsi="Arial" w:cs="Arial"/>
          <w:sz w:val="24"/>
          <w:szCs w:val="24"/>
        </w:rPr>
        <w:t>not a concern</w:t>
      </w:r>
      <w:r w:rsidRPr="00692830">
        <w:rPr>
          <w:rFonts w:ascii="Arial" w:hAnsi="Arial" w:cs="Arial"/>
          <w:sz w:val="24"/>
          <w:szCs w:val="24"/>
        </w:rPr>
        <w:t xml:space="preserve">.  </w:t>
      </w:r>
      <w:r w:rsidRPr="00692830" w:rsidR="00596395">
        <w:rPr>
          <w:rFonts w:ascii="Arial" w:hAnsi="Arial" w:cs="Arial"/>
          <w:sz w:val="24"/>
          <w:szCs w:val="24"/>
        </w:rPr>
        <w:t>A</w:t>
      </w:r>
      <w:r w:rsidRPr="00692830">
        <w:rPr>
          <w:rFonts w:ascii="Arial" w:hAnsi="Arial" w:cs="Arial"/>
          <w:sz w:val="24"/>
          <w:szCs w:val="24"/>
        </w:rPr>
        <w:t xml:space="preserve"> s</w:t>
      </w:r>
      <w:r w:rsidRPr="00692830" w:rsidR="00596395">
        <w:rPr>
          <w:rFonts w:ascii="Arial" w:hAnsi="Arial" w:cs="Arial"/>
          <w:sz w:val="24"/>
          <w:szCs w:val="24"/>
        </w:rPr>
        <w:t xml:space="preserve">tructured job evaluation scheme, equal pay audits </w:t>
      </w:r>
      <w:r w:rsidRPr="00692830">
        <w:rPr>
          <w:rFonts w:ascii="Arial" w:hAnsi="Arial" w:cs="Arial"/>
          <w:sz w:val="24"/>
          <w:szCs w:val="24"/>
        </w:rPr>
        <w:t>and family friendly policies are key to Hertsmere’s</w:t>
      </w:r>
      <w:r w:rsidRPr="00692830" w:rsidR="00323B7D">
        <w:rPr>
          <w:rFonts w:ascii="Arial" w:hAnsi="Arial" w:cs="Arial"/>
          <w:sz w:val="24"/>
          <w:szCs w:val="24"/>
        </w:rPr>
        <w:t xml:space="preserve"> </w:t>
      </w:r>
      <w:r w:rsidRPr="00692830">
        <w:rPr>
          <w:rFonts w:ascii="Arial" w:hAnsi="Arial" w:cs="Arial"/>
          <w:sz w:val="24"/>
          <w:szCs w:val="24"/>
        </w:rPr>
        <w:t>results.  Whilst no specific action is identified as being required, gender pay and equal pay will continue to be monitored closely to ensure that Hertsmere maintains this position.</w:t>
      </w:r>
    </w:p>
    <w:p w:rsidRPr="0012301F" w:rsidR="00695D5A" w:rsidP="00C8207B" w:rsidRDefault="00695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2301F" w:rsidR="00695D5A" w:rsidP="00C8207B" w:rsidRDefault="00695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2301F">
        <w:rPr>
          <w:rFonts w:ascii="Arial" w:hAnsi="Arial" w:cs="Arial"/>
          <w:sz w:val="24"/>
          <w:szCs w:val="24"/>
        </w:rPr>
        <w:t xml:space="preserve">We confirm that the data provided is accurate and has been prepared in accordance with </w:t>
      </w:r>
      <w:r w:rsidRPr="0012301F">
        <w:rPr>
          <w:rFonts w:ascii="Arial" w:hAnsi="Arial" w:cs="Arial"/>
          <w:iCs/>
          <w:sz w:val="24"/>
          <w:szCs w:val="24"/>
        </w:rPr>
        <w:t>The Equality Act 2010 (Gender Pay Gap Information) Regulations 2017.</w:t>
      </w:r>
    </w:p>
    <w:p w:rsidRPr="0012301F" w:rsidR="00695D5A" w:rsidP="00C8207B" w:rsidRDefault="00695D5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95D5A" w:rsidP="00C8207B" w:rsidRDefault="00D35BE3">
      <w:pPr>
        <w:spacing w:after="0" w:line="240" w:lineRule="auto"/>
        <w:rPr>
          <w:noProof/>
          <w:lang w:eastAsia="en-GB"/>
        </w:rPr>
      </w:pPr>
      <w:r w:rsidRPr="00D35BE3">
        <w:rPr>
          <w:noProof/>
          <w:lang w:eastAsia="en-GB"/>
        </w:rPr>
        <w:t xml:space="preserve"> </w:t>
      </w:r>
      <w:r w:rsidRPr="00D35BE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A1D8880" wp14:editId="68E160B0">
            <wp:extent cx="1510665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0751" cy="38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2301F" w:rsidR="00056F84" w:rsidP="00C8207B" w:rsidRDefault="00056F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12301F" w:rsidR="00695D5A" w:rsidP="00C8207B" w:rsidRDefault="00D35B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Clare Noble</w:t>
      </w:r>
    </w:p>
    <w:p w:rsidR="00695D5A" w:rsidP="00C8207B" w:rsidRDefault="00D35B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</w:t>
      </w:r>
      <w:r w:rsidRPr="0012301F" w:rsidR="00695D5A">
        <w:rPr>
          <w:rFonts w:ascii="Arial" w:hAnsi="Arial" w:cs="Arial"/>
          <w:sz w:val="24"/>
          <w:szCs w:val="24"/>
        </w:rPr>
        <w:t>Head of Human Resources</w:t>
      </w:r>
    </w:p>
    <w:p w:rsidR="00056F84" w:rsidP="00C8207B" w:rsidRDefault="00056F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5D5A" w:rsidP="00C8207B" w:rsidRDefault="00695D5A">
      <w:pPr>
        <w:spacing w:after="0" w:line="240" w:lineRule="auto"/>
        <w:rPr>
          <w:rFonts w:cs="Arial"/>
          <w:sz w:val="12"/>
          <w:szCs w:val="12"/>
        </w:rPr>
      </w:pPr>
    </w:p>
    <w:p w:rsidR="00695D5A" w:rsidP="00C8207B" w:rsidRDefault="00695D5A">
      <w:pPr>
        <w:spacing w:after="0" w:line="240" w:lineRule="auto"/>
        <w:rPr>
          <w:rFonts w:cs="Arial"/>
          <w:sz w:val="16"/>
          <w:szCs w:val="16"/>
        </w:rPr>
      </w:pPr>
      <w:r w:rsidRPr="008C330B">
        <w:rPr>
          <w:rFonts w:cs="Arial"/>
          <w:sz w:val="16"/>
          <w:szCs w:val="16"/>
        </w:rPr>
        <w:t>*Median</w:t>
      </w:r>
      <w:r>
        <w:rPr>
          <w:rFonts w:cs="Arial"/>
          <w:sz w:val="16"/>
          <w:szCs w:val="16"/>
        </w:rPr>
        <w:t xml:space="preserve"> = middle number</w:t>
      </w:r>
    </w:p>
    <w:p w:rsidRPr="00510059" w:rsidR="003404ED" w:rsidP="00C8207B" w:rsidRDefault="00695D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**Mean = average</w:t>
      </w:r>
    </w:p>
    <w:sectPr w:rsidRPr="00510059" w:rsidR="003404ED" w:rsidSect="00907D0B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7D" w:rsidRDefault="00631649">
      <w:pPr>
        <w:spacing w:after="0" w:line="240" w:lineRule="auto"/>
      </w:pPr>
      <w:r>
        <w:separator/>
      </w:r>
    </w:p>
  </w:endnote>
  <w:endnote w:type="continuationSeparator" w:id="0">
    <w:p w:rsidR="005A6F7D" w:rsidRDefault="0063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332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912" w:rsidRDefault="00323B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8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0912" w:rsidRDefault="00760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7D" w:rsidRDefault="00631649">
      <w:pPr>
        <w:spacing w:after="0" w:line="240" w:lineRule="auto"/>
      </w:pPr>
      <w:r>
        <w:separator/>
      </w:r>
    </w:p>
  </w:footnote>
  <w:footnote w:type="continuationSeparator" w:id="0">
    <w:p w:rsidR="005A6F7D" w:rsidRDefault="0063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C26A8"/>
    <w:multiLevelType w:val="hybridMultilevel"/>
    <w:tmpl w:val="4894DAA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49"/>
    <w:rsid w:val="00006549"/>
    <w:rsid w:val="00056F84"/>
    <w:rsid w:val="00081E7E"/>
    <w:rsid w:val="000C5247"/>
    <w:rsid w:val="001A6B00"/>
    <w:rsid w:val="002052E3"/>
    <w:rsid w:val="00231183"/>
    <w:rsid w:val="00261B9A"/>
    <w:rsid w:val="00323B7D"/>
    <w:rsid w:val="003404ED"/>
    <w:rsid w:val="003613FB"/>
    <w:rsid w:val="00395093"/>
    <w:rsid w:val="003D5B96"/>
    <w:rsid w:val="003E1D35"/>
    <w:rsid w:val="00434F9A"/>
    <w:rsid w:val="00441880"/>
    <w:rsid w:val="004C29FE"/>
    <w:rsid w:val="00510059"/>
    <w:rsid w:val="00541142"/>
    <w:rsid w:val="00596395"/>
    <w:rsid w:val="005A6F7D"/>
    <w:rsid w:val="00631649"/>
    <w:rsid w:val="006664AA"/>
    <w:rsid w:val="00692830"/>
    <w:rsid w:val="00694679"/>
    <w:rsid w:val="00695D5A"/>
    <w:rsid w:val="006A230F"/>
    <w:rsid w:val="006A6ECB"/>
    <w:rsid w:val="006E3961"/>
    <w:rsid w:val="006E6095"/>
    <w:rsid w:val="00760847"/>
    <w:rsid w:val="00767D17"/>
    <w:rsid w:val="007B1149"/>
    <w:rsid w:val="007E4973"/>
    <w:rsid w:val="0082672A"/>
    <w:rsid w:val="00907195"/>
    <w:rsid w:val="00965361"/>
    <w:rsid w:val="009721F6"/>
    <w:rsid w:val="00A441DD"/>
    <w:rsid w:val="00A552EA"/>
    <w:rsid w:val="00B067AF"/>
    <w:rsid w:val="00B71659"/>
    <w:rsid w:val="00BC0EAA"/>
    <w:rsid w:val="00C72A91"/>
    <w:rsid w:val="00C8207B"/>
    <w:rsid w:val="00CF1333"/>
    <w:rsid w:val="00D27CBD"/>
    <w:rsid w:val="00D35BE3"/>
    <w:rsid w:val="00E41308"/>
    <w:rsid w:val="00E65256"/>
    <w:rsid w:val="00EA35F6"/>
    <w:rsid w:val="00F018AD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CCDC4-B43D-4A11-8A12-6830A6B6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5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5A"/>
  </w:style>
  <w:style w:type="paragraph" w:styleId="ListParagraph">
    <w:name w:val="List Paragraph"/>
    <w:basedOn w:val="Normal"/>
    <w:uiPriority w:val="34"/>
    <w:qFormat/>
    <w:rsid w:val="00695D5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9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Hertsmere Borough Council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Gender-Pay-Gap-Report-2023-doc-26kb</dc:title>
  <dc:subject>Gender Pay Gap Report 2023 doc 26kb</dc:subject>
  <dc:creator>Clare Noble</dc:creator>
  <cp:keywords>
  </cp:keywords>
  <dc:description>
  </dc:description>
  <cp:lastModifiedBy>Mihiri Kotalawela</cp:lastModifiedBy>
  <cp:revision>2</cp:revision>
  <dcterms:created xsi:type="dcterms:W3CDTF">2024-01-29T09:32:00Z</dcterms:created>
  <dcterms:modified xsi:type="dcterms:W3CDTF">2024-01-29T13:28:54Z</dcterms:modified>
</cp:coreProperties>
</file>