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301F" w:rsidR="008838D8" w:rsidP="008838D8" w:rsidRDefault="008838D8">
      <w:pPr>
        <w:pStyle w:val="ListParagraph"/>
        <w:ind w:left="0"/>
        <w:jc w:val="both"/>
        <w:rPr>
          <w:rFonts w:cs="Arial"/>
          <w:b/>
        </w:rPr>
      </w:pPr>
      <w:bookmarkStart w:name="_GoBack" w:id="0"/>
      <w:bookmarkEnd w:id="0"/>
      <w:r w:rsidRPr="0012301F">
        <w:rPr>
          <w:rFonts w:cs="Arial"/>
          <w:b/>
        </w:rPr>
        <w:t>Hertsmere Borough Council Gender Pay Gap Report</w:t>
      </w:r>
      <w:r>
        <w:rPr>
          <w:rFonts w:cs="Arial"/>
          <w:b/>
        </w:rPr>
        <w:t xml:space="preserve"> 2024</w:t>
      </w:r>
    </w:p>
    <w:p w:rsidRPr="0012301F" w:rsidR="008838D8" w:rsidP="008838D8" w:rsidRDefault="008838D8">
      <w:pPr>
        <w:pStyle w:val="ListParagraph"/>
        <w:ind w:left="0"/>
        <w:jc w:val="both"/>
        <w:rPr>
          <w:rFonts w:cs="Arial"/>
          <w:b/>
        </w:rPr>
      </w:pP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Hertsmere Borough Council is required to publish information about its Gender Pay Gap in accordance with the</w:t>
      </w:r>
      <w:r w:rsidRPr="0012301F">
        <w:rPr>
          <w:rFonts w:ascii="Arial" w:hAnsi="Arial" w:cs="Arial"/>
          <w:sz w:val="24"/>
          <w:szCs w:val="24"/>
        </w:rPr>
        <w:t xml:space="preserve"> Public Sector Equality Duty</w:t>
      </w:r>
      <w:r>
        <w:rPr>
          <w:rFonts w:ascii="Arial" w:hAnsi="Arial" w:cs="Arial"/>
          <w:sz w:val="24"/>
          <w:szCs w:val="24"/>
        </w:rPr>
        <w:t xml:space="preserve"> on an annual basis.  The statistics required include the </w:t>
      </w:r>
      <w:r w:rsidRPr="0012301F">
        <w:rPr>
          <w:rFonts w:ascii="Arial" w:hAnsi="Arial" w:cs="Arial"/>
          <w:sz w:val="24"/>
          <w:szCs w:val="24"/>
        </w:rPr>
        <w:t xml:space="preserve">mean and median gender pay gaps; the mean and median gender bonus gaps; the proportion of </w:t>
      </w:r>
      <w:r>
        <w:rPr>
          <w:rFonts w:ascii="Arial" w:hAnsi="Arial" w:cs="Arial"/>
          <w:sz w:val="24"/>
          <w:szCs w:val="24"/>
        </w:rPr>
        <w:t>males</w:t>
      </w:r>
      <w:r w:rsidRPr="0012301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females</w:t>
      </w:r>
      <w:r w:rsidRPr="0012301F">
        <w:rPr>
          <w:rFonts w:ascii="Arial" w:hAnsi="Arial" w:cs="Arial"/>
          <w:sz w:val="24"/>
          <w:szCs w:val="24"/>
        </w:rPr>
        <w:t xml:space="preserve"> who received bonuses; and the proportions of male and female employees in each pay quartile. </w:t>
      </w: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301F">
        <w:rPr>
          <w:rFonts w:ascii="Arial" w:hAnsi="Arial" w:cs="Arial"/>
          <w:sz w:val="24"/>
          <w:szCs w:val="24"/>
        </w:rPr>
        <w:t xml:space="preserve">The gender pay gap shows the difference in the average hourly pay between all </w:t>
      </w:r>
      <w:r>
        <w:rPr>
          <w:rFonts w:ascii="Arial" w:hAnsi="Arial" w:cs="Arial"/>
          <w:sz w:val="24"/>
          <w:szCs w:val="24"/>
        </w:rPr>
        <w:t>males</w:t>
      </w:r>
      <w:r w:rsidRPr="0012301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females</w:t>
      </w:r>
      <w:r w:rsidRPr="0012301F">
        <w:rPr>
          <w:rFonts w:ascii="Arial" w:hAnsi="Arial" w:cs="Arial"/>
          <w:sz w:val="24"/>
          <w:szCs w:val="24"/>
        </w:rPr>
        <w:t xml:space="preserve"> in a workforce. If a workforce has a particularly high gender pay gap, this can indicate there may be a number of issues to deal with. The gender pay gap is different to equal pay. Equal pay deals with the pay differences between </w:t>
      </w:r>
      <w:r>
        <w:rPr>
          <w:rFonts w:ascii="Arial" w:hAnsi="Arial" w:cs="Arial"/>
          <w:sz w:val="24"/>
          <w:szCs w:val="24"/>
        </w:rPr>
        <w:t>males</w:t>
      </w:r>
      <w:r w:rsidRPr="0012301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females</w:t>
      </w:r>
      <w:r w:rsidRPr="0012301F">
        <w:rPr>
          <w:rFonts w:ascii="Arial" w:hAnsi="Arial" w:cs="Arial"/>
          <w:sz w:val="24"/>
          <w:szCs w:val="24"/>
        </w:rPr>
        <w:t xml:space="preserve"> who carry out the same jobs, similar jobs or work of equal value. It is unlawful to pay people unequally because they are a </w:t>
      </w:r>
      <w:r>
        <w:rPr>
          <w:rFonts w:ascii="Arial" w:hAnsi="Arial" w:cs="Arial"/>
          <w:sz w:val="24"/>
          <w:szCs w:val="24"/>
        </w:rPr>
        <w:t>male</w:t>
      </w:r>
      <w:r w:rsidRPr="0012301F">
        <w:rPr>
          <w:rFonts w:ascii="Arial" w:hAnsi="Arial" w:cs="Arial"/>
          <w:sz w:val="24"/>
          <w:szCs w:val="24"/>
        </w:rPr>
        <w:t xml:space="preserve"> or a </w:t>
      </w:r>
      <w:r>
        <w:rPr>
          <w:rFonts w:ascii="Arial" w:hAnsi="Arial" w:cs="Arial"/>
          <w:sz w:val="24"/>
          <w:szCs w:val="24"/>
        </w:rPr>
        <w:t>female</w:t>
      </w:r>
      <w:r w:rsidRPr="0012301F">
        <w:rPr>
          <w:rFonts w:ascii="Arial" w:hAnsi="Arial" w:cs="Arial"/>
          <w:sz w:val="24"/>
          <w:szCs w:val="24"/>
        </w:rPr>
        <w:t>.</w:t>
      </w:r>
    </w:p>
    <w:p w:rsidRPr="0012301F" w:rsidR="008838D8" w:rsidP="008838D8" w:rsidRDefault="00883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Pr="00695D5A" w:rsidR="008838D8" w:rsidP="008838D8" w:rsidRDefault="008838D8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2301F">
        <w:rPr>
          <w:rFonts w:ascii="Arial" w:hAnsi="Arial" w:cs="Arial"/>
          <w:sz w:val="24"/>
          <w:szCs w:val="24"/>
        </w:rPr>
        <w:t xml:space="preserve">Hertsmere Borough Council’s gender pay gap report as at the snapshot date of </w:t>
      </w:r>
      <w:r w:rsidRPr="00695D5A">
        <w:rPr>
          <w:rFonts w:ascii="Arial" w:hAnsi="Arial" w:cs="Arial"/>
          <w:b/>
          <w:sz w:val="24"/>
          <w:szCs w:val="24"/>
        </w:rPr>
        <w:t xml:space="preserve">31 </w:t>
      </w:r>
    </w:p>
    <w:p w:rsidR="008838D8" w:rsidP="008838D8" w:rsidRDefault="008838D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2024</w:t>
      </w:r>
      <w:r w:rsidRPr="0012301F">
        <w:rPr>
          <w:rFonts w:ascii="Arial" w:hAnsi="Arial" w:cs="Arial"/>
          <w:sz w:val="24"/>
          <w:szCs w:val="24"/>
        </w:rPr>
        <w:t xml:space="preserve"> is below:</w:t>
      </w:r>
    </w:p>
    <w:p w:rsidR="008838D8" w:rsidP="008838D8" w:rsidRDefault="008838D8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8838D8" w:rsidP="008838D8" w:rsidRDefault="008838D8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Median</w:t>
      </w:r>
      <w:r w:rsidRPr="00250BC4">
        <w:rPr>
          <w:rFonts w:ascii="Arial" w:hAnsi="Arial" w:cs="Arial"/>
          <w:b/>
          <w:sz w:val="24"/>
          <w:szCs w:val="24"/>
        </w:rPr>
        <w:t xml:space="preserve"> and Mean Gender Pay Gap of</w:t>
      </w:r>
      <w:r w:rsidRPr="00250BC4">
        <w:rPr>
          <w:rFonts w:ascii="Arial" w:hAnsi="Arial" w:cs="Arial"/>
          <w:sz w:val="24"/>
          <w:szCs w:val="24"/>
        </w:rPr>
        <w:t xml:space="preserve"> </w:t>
      </w:r>
      <w:r w:rsidRPr="00250BC4">
        <w:rPr>
          <w:rFonts w:ascii="Arial" w:hAnsi="Arial" w:cs="Arial"/>
          <w:b/>
          <w:sz w:val="24"/>
          <w:szCs w:val="24"/>
        </w:rPr>
        <w:t>Hourly Pay Rate</w:t>
      </w:r>
    </w:p>
    <w:p w:rsidR="008838D8" w:rsidP="008838D8" w:rsidRDefault="008838D8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  <w:gridCol w:w="1503"/>
        <w:gridCol w:w="1504"/>
      </w:tblGrid>
      <w:tr w:rsidR="008838D8" w:rsidTr="00AB25A9"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Mean for 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£20.82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Mean for female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£20.25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Mean gender pay gap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2.73%</w:t>
            </w:r>
          </w:p>
        </w:tc>
      </w:tr>
      <w:tr w:rsidR="008838D8" w:rsidTr="00AB25A9"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Median for 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£17.27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Median for female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£17.87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Median gender pay gap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-3.47%</w:t>
            </w:r>
          </w:p>
        </w:tc>
      </w:tr>
    </w:tbl>
    <w:p w:rsidRPr="00250BC4" w:rsidR="008838D8" w:rsidP="008838D8" w:rsidRDefault="008838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12301F" w:rsidR="008838D8" w:rsidP="008838D8" w:rsidRDefault="005970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Mean and Median Bonus Pay Gap</w:t>
      </w: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301F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reported</w:t>
      </w:r>
      <w:r w:rsidRPr="0012301F">
        <w:rPr>
          <w:rFonts w:ascii="Arial" w:hAnsi="Arial" w:cs="Arial"/>
          <w:sz w:val="24"/>
          <w:szCs w:val="24"/>
        </w:rPr>
        <w:t xml:space="preserve"> bonuses </w:t>
      </w:r>
      <w:r>
        <w:rPr>
          <w:rFonts w:ascii="Arial" w:hAnsi="Arial" w:cs="Arial"/>
          <w:sz w:val="24"/>
          <w:szCs w:val="24"/>
        </w:rPr>
        <w:t>relate to the period 1 April 2023 to 31 March 2024.</w:t>
      </w:r>
    </w:p>
    <w:p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03"/>
        <w:gridCol w:w="1504"/>
        <w:gridCol w:w="1503"/>
        <w:gridCol w:w="1504"/>
        <w:gridCol w:w="1503"/>
        <w:gridCol w:w="1504"/>
      </w:tblGrid>
      <w:tr w:rsidRPr="00695D5A" w:rsidR="008838D8" w:rsidTr="00AB25A9"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Mean for male</w:t>
            </w:r>
          </w:p>
        </w:tc>
        <w:tc>
          <w:tcPr>
            <w:tcW w:w="1504" w:type="dxa"/>
          </w:tcPr>
          <w:p w:rsidRPr="00695D5A" w:rsidR="008838D8" w:rsidP="0061723C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61723C">
              <w:rPr>
                <w:rFonts w:ascii="Arial" w:hAnsi="Arial" w:cs="Arial"/>
                <w:sz w:val="24"/>
                <w:szCs w:val="24"/>
              </w:rPr>
              <w:t>499.46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Mean for female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£108.33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Mean gender pay gap</w:t>
            </w:r>
          </w:p>
        </w:tc>
        <w:tc>
          <w:tcPr>
            <w:tcW w:w="1504" w:type="dxa"/>
          </w:tcPr>
          <w:p w:rsidRPr="00695D5A" w:rsidR="008838D8" w:rsidP="00AB25A9" w:rsidRDefault="0061723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78.31</w:t>
            </w:r>
            <w:r w:rsidR="008838D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Pr="00695D5A" w:rsidR="008838D8" w:rsidTr="00AB25A9"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Median for 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Median for female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£75</w:t>
            </w:r>
          </w:p>
        </w:tc>
        <w:tc>
          <w:tcPr>
            <w:tcW w:w="1503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5D5A">
              <w:rPr>
                <w:rFonts w:ascii="Arial" w:hAnsi="Arial" w:cs="Arial"/>
                <w:sz w:val="24"/>
                <w:szCs w:val="24"/>
              </w:rPr>
              <w:t>Median gender pay gap</w:t>
            </w:r>
          </w:p>
        </w:tc>
        <w:tc>
          <w:tcPr>
            <w:tcW w:w="1504" w:type="dxa"/>
          </w:tcPr>
          <w:p w:rsidRPr="00695D5A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</w:t>
            </w:r>
          </w:p>
        </w:tc>
      </w:tr>
    </w:tbl>
    <w:p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838D8" w:rsidTr="00AB25A9">
        <w:tc>
          <w:tcPr>
            <w:tcW w:w="2254" w:type="dxa"/>
          </w:tcPr>
          <w:p w:rsidR="008838D8" w:rsidP="00AB25A9" w:rsidRDefault="008838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 of males with a bonus</w:t>
            </w:r>
          </w:p>
        </w:tc>
        <w:tc>
          <w:tcPr>
            <w:tcW w:w="2254" w:type="dxa"/>
          </w:tcPr>
          <w:p w:rsidR="008838D8" w:rsidP="00AB25A9" w:rsidRDefault="006172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8838D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54" w:type="dxa"/>
          </w:tcPr>
          <w:p w:rsidR="008838D8" w:rsidP="00AB25A9" w:rsidRDefault="008838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Proportion of females with a bonus</w:t>
            </w:r>
          </w:p>
        </w:tc>
        <w:tc>
          <w:tcPr>
            <w:tcW w:w="2254" w:type="dxa"/>
          </w:tcPr>
          <w:p w:rsidR="008838D8" w:rsidP="00AB25A9" w:rsidRDefault="008838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56.75%</w:t>
            </w:r>
          </w:p>
        </w:tc>
      </w:tr>
    </w:tbl>
    <w:p w:rsidR="00F16088" w:rsidP="004F7814" w:rsidRDefault="008838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01F">
        <w:rPr>
          <w:rFonts w:ascii="Arial" w:hAnsi="Arial" w:cs="Arial"/>
          <w:sz w:val="24"/>
          <w:szCs w:val="24"/>
        </w:rPr>
        <w:br/>
      </w: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6088" w:rsidP="004F7814" w:rsidRDefault="00F160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Pr="004F7814" w:rsidR="004F7814" w:rsidP="004F7814" w:rsidRDefault="004F78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814">
        <w:rPr>
          <w:rFonts w:ascii="Arial" w:hAnsi="Arial" w:cs="Arial"/>
          <w:b/>
          <w:sz w:val="24"/>
          <w:szCs w:val="24"/>
        </w:rPr>
        <w:lastRenderedPageBreak/>
        <w:t>The bonuses paid at Hertsmere relate to the following:</w:t>
      </w:r>
    </w:p>
    <w:p w:rsidR="004F7814" w:rsidP="004F7814" w:rsidRDefault="004F78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05"/>
        <w:gridCol w:w="6062"/>
      </w:tblGrid>
      <w:tr w:rsidRPr="00CF1333" w:rsidR="004F7814" w:rsidTr="004F7814">
        <w:tc>
          <w:tcPr>
            <w:tcW w:w="3005" w:type="dxa"/>
          </w:tcPr>
          <w:p w:rsidRPr="00CF1333" w:rsidR="004F7814" w:rsidP="00583C35" w:rsidRDefault="004F78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1333">
              <w:rPr>
                <w:rFonts w:ascii="Arial" w:hAnsi="Arial" w:cs="Arial"/>
                <w:b/>
                <w:sz w:val="24"/>
                <w:szCs w:val="24"/>
              </w:rPr>
              <w:t>Type of bonus</w:t>
            </w:r>
          </w:p>
        </w:tc>
        <w:tc>
          <w:tcPr>
            <w:tcW w:w="6062" w:type="dxa"/>
          </w:tcPr>
          <w:p w:rsidRPr="00CF1333" w:rsidR="004F7814" w:rsidP="00583C35" w:rsidRDefault="004F78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1333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4F7814" w:rsidTr="004F7814">
        <w:tc>
          <w:tcPr>
            <w:tcW w:w="3005" w:type="dxa"/>
          </w:tcPr>
          <w:p w:rsidRPr="004C29FE" w:rsidR="004F7814" w:rsidP="00583C35" w:rsidRDefault="004F7814">
            <w:pPr>
              <w:rPr>
                <w:rFonts w:cs="Arial"/>
              </w:rPr>
            </w:pPr>
            <w:r w:rsidRPr="004C29FE">
              <w:rPr>
                <w:rFonts w:ascii="Arial" w:hAnsi="Arial" w:cs="Arial"/>
                <w:sz w:val="24"/>
                <w:szCs w:val="24"/>
              </w:rPr>
              <w:t>Loyalty bonus</w:t>
            </w:r>
          </w:p>
          <w:p w:rsidRPr="00694679"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</w:tcPr>
          <w:p w:rsidRPr="00694679"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loyalty bonus paid in vouchers  to employees achieving 10, 20, 30 and 40 years’ service at the Council</w:t>
            </w:r>
          </w:p>
        </w:tc>
      </w:tr>
      <w:tr w:rsidR="004F7814" w:rsidTr="004F7814">
        <w:tc>
          <w:tcPr>
            <w:tcW w:w="3005" w:type="dxa"/>
          </w:tcPr>
          <w:p w:rsidRPr="004C29FE" w:rsidR="004F7814" w:rsidP="00583C35" w:rsidRDefault="004F7814">
            <w:pPr>
              <w:rPr>
                <w:rFonts w:cs="Arial"/>
              </w:rPr>
            </w:pPr>
            <w:r w:rsidRPr="004C29FE">
              <w:rPr>
                <w:rFonts w:ascii="Arial" w:hAnsi="Arial" w:cs="Arial"/>
                <w:sz w:val="24"/>
                <w:szCs w:val="24"/>
              </w:rPr>
              <w:t>Attendance bonus</w:t>
            </w:r>
          </w:p>
          <w:p w:rsidRPr="00694679"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</w:tcPr>
          <w:p w:rsidRPr="00694679"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in vouchers for 1 and 2 years of excellent attendance</w:t>
            </w:r>
          </w:p>
        </w:tc>
      </w:tr>
      <w:tr w:rsidR="004F7814" w:rsidTr="004F7814">
        <w:tc>
          <w:tcPr>
            <w:tcW w:w="3005" w:type="dxa"/>
          </w:tcPr>
          <w:p w:rsidRPr="004C29FE" w:rsidR="004F7814" w:rsidP="00583C35" w:rsidRDefault="004F7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Stars Award bonus</w:t>
            </w:r>
          </w:p>
        </w:tc>
        <w:tc>
          <w:tcPr>
            <w:tcW w:w="6062" w:type="dxa"/>
          </w:tcPr>
          <w:p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in vouchers for nominated staff demonstrating excellent performance</w:t>
            </w:r>
          </w:p>
        </w:tc>
      </w:tr>
      <w:tr w:rsidR="004F7814" w:rsidTr="004F7814">
        <w:tc>
          <w:tcPr>
            <w:tcW w:w="3005" w:type="dxa"/>
          </w:tcPr>
          <w:p w:rsidRPr="004C29FE" w:rsidR="004F7814" w:rsidP="00583C35" w:rsidRDefault="004F7814">
            <w:pPr>
              <w:rPr>
                <w:rFonts w:cs="Arial"/>
              </w:rPr>
            </w:pPr>
            <w:r w:rsidRPr="004C29FE">
              <w:rPr>
                <w:rFonts w:ascii="Arial" w:hAnsi="Arial" w:cs="Arial"/>
                <w:sz w:val="24"/>
                <w:szCs w:val="24"/>
              </w:rPr>
              <w:t>Retention bonus</w:t>
            </w:r>
          </w:p>
          <w:p w:rsidRPr="00694679"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</w:tcPr>
          <w:p w:rsidRPr="00694679" w:rsidR="004F7814" w:rsidP="00583C35" w:rsidRDefault="004F78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to Refuse Loaders and Drivers in recognition of recruitment and retention difficulties in these areas</w:t>
            </w:r>
          </w:p>
        </w:tc>
      </w:tr>
    </w:tbl>
    <w:p w:rsidR="008838D8" w:rsidP="008838D8" w:rsidRDefault="00883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38D8" w:rsidP="008838D8" w:rsidRDefault="00883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0BC4">
        <w:rPr>
          <w:rFonts w:ascii="Arial" w:hAnsi="Arial" w:cs="Arial"/>
          <w:b/>
          <w:sz w:val="24"/>
          <w:szCs w:val="24"/>
        </w:rPr>
        <w:t xml:space="preserve">Proportion of Male and Female employees in each pay quartile </w:t>
      </w:r>
    </w:p>
    <w:p w:rsidR="008838D8" w:rsidP="008838D8" w:rsidRDefault="008838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08"/>
        <w:gridCol w:w="1503"/>
        <w:gridCol w:w="1503"/>
        <w:gridCol w:w="1503"/>
        <w:gridCol w:w="1503"/>
      </w:tblGrid>
      <w:tr w:rsidR="008838D8" w:rsidTr="00AB25A9">
        <w:tc>
          <w:tcPr>
            <w:tcW w:w="1696" w:type="dxa"/>
          </w:tcPr>
          <w:p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Quartile</w:t>
            </w:r>
          </w:p>
        </w:tc>
        <w:tc>
          <w:tcPr>
            <w:tcW w:w="1308" w:type="dxa"/>
          </w:tcPr>
          <w:p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staff</w:t>
            </w:r>
          </w:p>
        </w:tc>
        <w:tc>
          <w:tcPr>
            <w:tcW w:w="1503" w:type="dxa"/>
          </w:tcPr>
          <w:p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1503" w:type="dxa"/>
          </w:tcPr>
          <w:p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503" w:type="dxa"/>
          </w:tcPr>
          <w:p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Male %</w:t>
            </w:r>
          </w:p>
        </w:tc>
        <w:tc>
          <w:tcPr>
            <w:tcW w:w="1503" w:type="dxa"/>
          </w:tcPr>
          <w:p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Female %</w:t>
            </w:r>
          </w:p>
        </w:tc>
      </w:tr>
      <w:tr w:rsidR="008838D8" w:rsidTr="00AB25A9">
        <w:tc>
          <w:tcPr>
            <w:tcW w:w="1696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195">
              <w:rPr>
                <w:rFonts w:ascii="Arial" w:hAnsi="Arial" w:cs="Arial"/>
                <w:sz w:val="24"/>
                <w:szCs w:val="24"/>
              </w:rPr>
              <w:t>Lower</w:t>
            </w:r>
          </w:p>
        </w:tc>
        <w:tc>
          <w:tcPr>
            <w:tcW w:w="1308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62.50%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37.50%</w:t>
            </w:r>
          </w:p>
        </w:tc>
      </w:tr>
      <w:tr w:rsidR="008838D8" w:rsidTr="00AB25A9">
        <w:tc>
          <w:tcPr>
            <w:tcW w:w="1696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195">
              <w:rPr>
                <w:rFonts w:ascii="Arial" w:hAnsi="Arial" w:cs="Arial"/>
                <w:sz w:val="24"/>
                <w:szCs w:val="24"/>
              </w:rPr>
              <w:t>Lower middle</w:t>
            </w:r>
          </w:p>
        </w:tc>
        <w:tc>
          <w:tcPr>
            <w:tcW w:w="1308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40.84%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59.15%</w:t>
            </w:r>
          </w:p>
        </w:tc>
      </w:tr>
      <w:tr w:rsidR="008838D8" w:rsidTr="00AB25A9">
        <w:tc>
          <w:tcPr>
            <w:tcW w:w="1696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195">
              <w:rPr>
                <w:rFonts w:ascii="Arial" w:hAnsi="Arial" w:cs="Arial"/>
                <w:sz w:val="24"/>
                <w:szCs w:val="24"/>
              </w:rPr>
              <w:t>Upper middle</w:t>
            </w:r>
          </w:p>
        </w:tc>
        <w:tc>
          <w:tcPr>
            <w:tcW w:w="1308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40.84%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59.15%</w:t>
            </w:r>
          </w:p>
        </w:tc>
      </w:tr>
      <w:tr w:rsidR="008838D8" w:rsidTr="00AB25A9">
        <w:tc>
          <w:tcPr>
            <w:tcW w:w="1696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7195">
              <w:rPr>
                <w:rFonts w:ascii="Arial" w:hAnsi="Arial" w:cs="Arial"/>
                <w:sz w:val="24"/>
                <w:szCs w:val="24"/>
              </w:rPr>
              <w:t>Upper</w:t>
            </w:r>
          </w:p>
        </w:tc>
        <w:tc>
          <w:tcPr>
            <w:tcW w:w="1308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57.74%</w:t>
            </w:r>
          </w:p>
        </w:tc>
        <w:tc>
          <w:tcPr>
            <w:tcW w:w="1503" w:type="dxa"/>
          </w:tcPr>
          <w:p w:rsidRPr="00907195" w:rsidR="008838D8" w:rsidP="00AB25A9" w:rsidRDefault="008838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42.25%</w:t>
            </w:r>
          </w:p>
        </w:tc>
      </w:tr>
    </w:tbl>
    <w:p w:rsidRPr="00F345E0" w:rsidR="008838D8" w:rsidP="008838D8" w:rsidRDefault="00883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45E0" w:rsidP="00F345E0" w:rsidRDefault="00F345E0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en-GB"/>
        </w:rPr>
        <w:t>Gender Pay Gap Analysis</w:t>
      </w:r>
    </w:p>
    <w:p w:rsidR="00F345E0" w:rsidP="00F345E0" w:rsidRDefault="00F345E0">
      <w:pPr>
        <w:spacing w:after="0" w:line="240" w:lineRule="auto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345E0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Mean Gender Pay Gap</w:t>
      </w:r>
      <w:r>
        <w:rPr>
          <w:rFonts w:ascii="Arial" w:hAnsi="Arial" w:eastAsia="Times New Roman" w:cs="Arial"/>
          <w:sz w:val="24"/>
          <w:szCs w:val="24"/>
          <w:lang w:eastAsia="en-GB"/>
        </w:rPr>
        <w:br/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  <w:t xml:space="preserve">The mean hourly pay gap is </w:t>
      </w:r>
      <w:r w:rsidRPr="00F345E0">
        <w:rPr>
          <w:rFonts w:ascii="Arial" w:hAnsi="Arial" w:eastAsia="Times New Roman" w:cs="Arial"/>
          <w:bCs/>
          <w:sz w:val="24"/>
          <w:szCs w:val="24"/>
          <w:lang w:eastAsia="en-GB"/>
        </w:rPr>
        <w:t>2.73% in favour of males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, meaning males earn on average £0.57 more per hour than females.  This is significantly below the national average of </w:t>
      </w:r>
      <w:r w:rsidRPr="00F345E0">
        <w:rPr>
          <w:rFonts w:ascii="Arial" w:hAnsi="Arial" w:eastAsia="Times New Roman" w:cs="Arial"/>
          <w:bCs/>
          <w:sz w:val="24"/>
          <w:szCs w:val="24"/>
          <w:lang w:eastAsia="en-GB"/>
        </w:rPr>
        <w:t>13.1% for all employees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and </w:t>
      </w:r>
      <w:r w:rsidRPr="00F345E0">
        <w:rPr>
          <w:rFonts w:ascii="Arial" w:hAnsi="Arial" w:eastAsia="Times New Roman" w:cs="Arial"/>
          <w:bCs/>
          <w:sz w:val="24"/>
          <w:szCs w:val="24"/>
          <w:lang w:eastAsia="en-GB"/>
        </w:rPr>
        <w:t>7% for full-time employees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as reported by the Office for National Statistics (ONS) in 2024.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</w:r>
      <w:r w:rsidRPr="00F345E0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Median Gender Pay Gap</w:t>
      </w:r>
      <w:r>
        <w:rPr>
          <w:rFonts w:ascii="Arial" w:hAnsi="Arial" w:eastAsia="Times New Roman" w:cs="Arial"/>
          <w:sz w:val="24"/>
          <w:szCs w:val="24"/>
          <w:lang w:eastAsia="en-GB"/>
        </w:rPr>
        <w:br/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  <w:t xml:space="preserve">The median hourly pay gap is </w:t>
      </w:r>
      <w:r w:rsidRPr="00F345E0">
        <w:rPr>
          <w:rFonts w:ascii="Arial" w:hAnsi="Arial" w:eastAsia="Times New Roman" w:cs="Arial"/>
          <w:bCs/>
          <w:sz w:val="24"/>
          <w:szCs w:val="24"/>
          <w:lang w:eastAsia="en-GB"/>
        </w:rPr>
        <w:t>-3.47% in favour of females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, meaning females earn £0.60 more per hour than males at the median level. This indicates that the median female employee occupies a role with higher pay compared to the median male employee, despite the mean being in favour of males.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8B543F" w:rsidR="008B543F" w:rsidP="00F345E0" w:rsidRDefault="008B543F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8B543F">
        <w:rPr>
          <w:rFonts w:ascii="Arial" w:hAnsi="Arial" w:eastAsia="Times New Roman" w:cs="Arial"/>
          <w:b/>
          <w:sz w:val="24"/>
          <w:szCs w:val="24"/>
          <w:lang w:eastAsia="en-GB"/>
        </w:rPr>
        <w:t>Mean and Median Pay Analysis</w:t>
      </w:r>
    </w:p>
    <w:p w:rsidRPr="00F345E0" w:rsidR="008B543F" w:rsidP="00F345E0" w:rsidRDefault="008B543F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E6660E" w:rsidR="00F345E0" w:rsidP="008B543F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The fact that the </w:t>
      </w:r>
      <w:r w:rsidRPr="00E6660E">
        <w:rPr>
          <w:rFonts w:ascii="Arial" w:hAnsi="Arial" w:eastAsia="Times New Roman" w:cs="Arial"/>
          <w:bCs/>
          <w:sz w:val="24"/>
          <w:szCs w:val="24"/>
          <w:lang w:eastAsia="en-GB"/>
        </w:rPr>
        <w:t>mean gender pay gap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is in favo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u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r of males while the </w:t>
      </w:r>
      <w:r w:rsidRPr="00E6660E">
        <w:rPr>
          <w:rFonts w:ascii="Arial" w:hAnsi="Arial" w:eastAsia="Times New Roman" w:cs="Arial"/>
          <w:bCs/>
          <w:sz w:val="24"/>
          <w:szCs w:val="24"/>
          <w:lang w:eastAsia="en-GB"/>
        </w:rPr>
        <w:t>median gender pay gap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is in favo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u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r of females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is representative of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a distribution of salaries where certain patterns in pay levels and workforce structure influence the averages and medians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differently.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br/>
        <w:t xml:space="preserve">The mean is the average pay, calculated by summing all pay amounts and dividing by the total number of employees. It is sensitive to </w:t>
      </w:r>
      <w:r w:rsidRPr="00E6660E">
        <w:rPr>
          <w:rFonts w:ascii="Arial" w:hAnsi="Arial" w:eastAsia="Times New Roman" w:cs="Arial"/>
          <w:bCs/>
          <w:sz w:val="24"/>
          <w:szCs w:val="24"/>
          <w:lang w:eastAsia="en-GB"/>
        </w:rPr>
        <w:t>outliers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or a small number of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lastRenderedPageBreak/>
        <w:t>salaries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 xml:space="preserve"> at the highest levels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="0025618C">
        <w:rPr>
          <w:rFonts w:ascii="Arial" w:hAnsi="Arial" w:eastAsia="Times New Roman" w:cs="Arial"/>
          <w:sz w:val="24"/>
          <w:szCs w:val="24"/>
          <w:lang w:eastAsia="en-GB"/>
        </w:rPr>
        <w:t xml:space="preserve"> 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The median is the middle value when all salaries are arranged in ascending order. It is less affected by outliers and provides a more representative "typical" value of pay.</w:t>
      </w:r>
    </w:p>
    <w:p w:rsidR="008B543F" w:rsidP="00F345E0" w:rsidRDefault="008B543F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E6660E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The </w:t>
      </w:r>
      <w:r w:rsidRPr="00E6660E">
        <w:rPr>
          <w:rFonts w:ascii="Arial" w:hAnsi="Arial" w:eastAsia="Times New Roman" w:cs="Arial"/>
          <w:bCs/>
          <w:sz w:val="24"/>
          <w:szCs w:val="24"/>
          <w:lang w:eastAsia="en-GB"/>
        </w:rPr>
        <w:t>mean pay gap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in favo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u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r of males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is representative of the fact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that men are more likely to occupy the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highest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paying roles, which raises the average pay for males.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 The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outliers can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be seen to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disproportionately increase the mean male pay compared to female pay.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 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>Where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the pay distribution 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>for men is skewed by some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high earners, the mean male pay will be higher, even if most men earn less than or about the same as women</w:t>
      </w:r>
      <w:r w:rsidR="0025618C">
        <w:rPr>
          <w:rFonts w:ascii="Arial" w:hAnsi="Arial" w:eastAsia="Times New Roman" w:cs="Arial"/>
          <w:sz w:val="24"/>
          <w:szCs w:val="24"/>
          <w:lang w:eastAsia="en-GB"/>
        </w:rPr>
        <w:t xml:space="preserve"> as i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>s the case at Hertsmere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E6660E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The </w:t>
      </w:r>
      <w:r w:rsidRPr="00E6660E">
        <w:rPr>
          <w:rFonts w:ascii="Arial" w:hAnsi="Arial" w:eastAsia="Times New Roman" w:cs="Arial"/>
          <w:bCs/>
          <w:sz w:val="24"/>
          <w:szCs w:val="24"/>
          <w:lang w:eastAsia="en-GB"/>
        </w:rPr>
        <w:t>median pay gap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in favo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u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r of females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is representative of the fact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that women occupy more roles at or just above the median pay level than men. This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occurs when the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distribution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of male salaries is more polaris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ed (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i.e. there are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more men at both the lower and higher ends of the pay scale), while female salaries are more concentrated in mid-range roles.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 Where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women’s pay is more evenly distributed or concentrated around the middle pay ranges, the median female pay can be higher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>, as is the case at Hertsmere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E6660E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F345E0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345E0">
        <w:rPr>
          <w:rFonts w:ascii="Arial" w:hAnsi="Arial" w:eastAsia="Times New Roman" w:cs="Arial"/>
          <w:sz w:val="24"/>
          <w:szCs w:val="24"/>
          <w:lang w:eastAsia="en-GB"/>
        </w:rPr>
        <w:t>The dual finding highlights the importance of analys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ing both mean and median pay gaps to understand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the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sa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lary structure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fully.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 The finding also indicates a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 xml:space="preserve"> slight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underreprese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t xml:space="preserve">ntation of women in the highest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paid r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oles, even though they are well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represented in mid-level positions. Efforts to support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women’s progression into higher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paying roles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through leadership development will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 xml:space="preserve"> help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the Council to </w:t>
      </w:r>
      <w:r w:rsidRPr="00E6660E">
        <w:rPr>
          <w:rFonts w:ascii="Arial" w:hAnsi="Arial" w:eastAsia="Times New Roman" w:cs="Arial"/>
          <w:sz w:val="24"/>
          <w:szCs w:val="24"/>
          <w:lang w:eastAsia="en-GB"/>
        </w:rPr>
        <w:t>address the mean pay gap further.</w:t>
      </w:r>
      <w:r w:rsidR="008B543F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F345E0" w:rsidR="00F345E0" w:rsidP="00F345E0" w:rsidRDefault="00F345E0">
      <w:pPr>
        <w:spacing w:after="0" w:line="240" w:lineRule="auto"/>
        <w:outlineLvl w:val="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F345E0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Bonus Pay Gap</w:t>
      </w:r>
      <w:r w:rsidR="008B543F">
        <w:rPr>
          <w:rFonts w:ascii="Arial" w:hAnsi="Arial" w:eastAsia="Times New Roman" w:cs="Arial"/>
          <w:b/>
          <w:bCs/>
          <w:sz w:val="24"/>
          <w:szCs w:val="24"/>
          <w:lang w:eastAsia="en-GB"/>
        </w:rPr>
        <w:br/>
      </w:r>
    </w:p>
    <w:p w:rsidRPr="00F345E0" w:rsidR="00F345E0" w:rsidP="0025618C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The mean bonus gender pay gap is </w:t>
      </w:r>
      <w:r w:rsidRPr="0025618C">
        <w:rPr>
          <w:rFonts w:ascii="Arial" w:hAnsi="Arial" w:eastAsia="Times New Roman" w:cs="Arial"/>
          <w:bCs/>
          <w:sz w:val="24"/>
          <w:szCs w:val="24"/>
          <w:lang w:eastAsia="en-GB"/>
        </w:rPr>
        <w:t>78.31% in favour of males</w:t>
      </w:r>
      <w:r w:rsidRPr="0025618C">
        <w:rPr>
          <w:rFonts w:ascii="Arial" w:hAnsi="Arial" w:eastAsia="Times New Roman" w:cs="Arial"/>
          <w:sz w:val="24"/>
          <w:szCs w:val="24"/>
          <w:lang w:eastAsia="en-GB"/>
        </w:rPr>
        <w:t>, meaning the average bonus paid to males (£499.46) is significantly higher than that paid to females (£108.33).</w:t>
      </w:r>
      <w:r w:rsidR="0025618C">
        <w:rPr>
          <w:rFonts w:ascii="Arial" w:hAnsi="Arial" w:eastAsia="Times New Roman" w:cs="Arial"/>
          <w:sz w:val="24"/>
          <w:szCs w:val="24"/>
          <w:lang w:eastAsia="en-GB"/>
        </w:rPr>
        <w:t xml:space="preserve">  </w:t>
      </w:r>
      <w:r w:rsidRPr="0025618C">
        <w:rPr>
          <w:rFonts w:ascii="Arial" w:hAnsi="Arial" w:eastAsia="Times New Roman" w:cs="Arial"/>
          <w:sz w:val="24"/>
          <w:szCs w:val="24"/>
          <w:lang w:eastAsia="en-GB"/>
        </w:rPr>
        <w:t xml:space="preserve">The median bonus gender pay gap is </w:t>
      </w:r>
      <w:r w:rsidRPr="0025618C">
        <w:rPr>
          <w:rFonts w:ascii="Arial" w:hAnsi="Arial" w:eastAsia="Times New Roman" w:cs="Arial"/>
          <w:bCs/>
          <w:sz w:val="24"/>
          <w:szCs w:val="24"/>
          <w:lang w:eastAsia="en-GB"/>
        </w:rPr>
        <w:t>25% in favour of males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, with the median male bonus at £100 compared to £75 for females. This indicates a less pronounced but still significant disparity at the median level.</w:t>
      </w:r>
      <w:r w:rsidR="0025618C">
        <w:rPr>
          <w:rFonts w:ascii="Arial" w:hAnsi="Arial" w:eastAsia="Times New Roman" w:cs="Arial"/>
          <w:sz w:val="24"/>
          <w:szCs w:val="24"/>
          <w:lang w:eastAsia="en-GB"/>
        </w:rPr>
        <w:t xml:space="preserve">  </w:t>
      </w:r>
      <w:r w:rsidRPr="00F345E0">
        <w:rPr>
          <w:rFonts w:ascii="Arial" w:hAnsi="Arial" w:eastAsia="Times New Roman" w:cs="Arial"/>
          <w:bCs/>
          <w:sz w:val="24"/>
          <w:szCs w:val="24"/>
          <w:lang w:eastAsia="en-GB"/>
        </w:rPr>
        <w:t>The proportion of males who received a bonus during the period was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75%.  The proportion of females receiving a bonus was</w:t>
      </w:r>
      <w:r w:rsidRPr="00F345E0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56.75%.</w:t>
      </w:r>
      <w:r w:rsidRPr="00F345E0">
        <w:rPr>
          <w:rFonts w:ascii="Arial" w:hAnsi="Arial" w:eastAsia="Times New Roman" w:cs="Arial"/>
          <w:b/>
          <w:bCs/>
          <w:sz w:val="24"/>
          <w:szCs w:val="24"/>
          <w:lang w:eastAsia="en-GB"/>
        </w:rPr>
        <w:br/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  <w:t xml:space="preserve">This disparity in bonus pay is </w:t>
      </w:r>
      <w:r w:rsidR="002A34E5">
        <w:rPr>
          <w:rFonts w:ascii="Arial" w:hAnsi="Arial" w:eastAsia="Times New Roman" w:cs="Arial"/>
          <w:sz w:val="24"/>
          <w:szCs w:val="24"/>
          <w:lang w:eastAsia="en-GB"/>
        </w:rPr>
        <w:t xml:space="preserve">significantly impacted by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the retention bonuses </w:t>
      </w:r>
      <w:r w:rsidR="0068292D">
        <w:rPr>
          <w:rFonts w:ascii="Arial" w:hAnsi="Arial" w:eastAsia="Times New Roman" w:cs="Arial"/>
          <w:sz w:val="24"/>
          <w:szCs w:val="24"/>
          <w:lang w:eastAsia="en-GB"/>
        </w:rPr>
        <w:t xml:space="preserve">paid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in </w:t>
      </w:r>
      <w:r w:rsidR="002A34E5">
        <w:rPr>
          <w:rFonts w:ascii="Arial" w:hAnsi="Arial" w:eastAsia="Times New Roman" w:cs="Arial"/>
          <w:sz w:val="24"/>
          <w:szCs w:val="24"/>
          <w:lang w:eastAsia="en-GB"/>
        </w:rPr>
        <w:t xml:space="preserve">the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Waste</w:t>
      </w:r>
      <w:r w:rsidRPr="002A34E5" w:rsidR="002A34E5">
        <w:rPr>
          <w:rFonts w:ascii="Arial" w:hAnsi="Arial" w:eastAsia="Times New Roman" w:cs="Arial"/>
          <w:bCs/>
          <w:sz w:val="24"/>
          <w:szCs w:val="24"/>
          <w:lang w:eastAsia="en-GB"/>
        </w:rPr>
        <w:t xml:space="preserve"> Service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, where all employees are currently male. These bonuses are aimed at addressing recruitment and retention challenges specific to the roles of Refuse Loader and HGV Driver.</w:t>
      </w:r>
      <w:r w:rsidR="0068292D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F345E0" w:rsidR="00F345E0" w:rsidP="00F345E0" w:rsidRDefault="00F345E0">
      <w:pPr>
        <w:spacing w:after="0" w:line="240" w:lineRule="auto"/>
        <w:outlineLvl w:val="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 w:rsidRPr="00F345E0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Pay Quartiles</w:t>
      </w:r>
      <w:r w:rsidR="002A34E5">
        <w:rPr>
          <w:rFonts w:ascii="Arial" w:hAnsi="Arial" w:eastAsia="Times New Roman" w:cs="Arial"/>
          <w:b/>
          <w:bCs/>
          <w:sz w:val="24"/>
          <w:szCs w:val="24"/>
          <w:lang w:eastAsia="en-GB"/>
        </w:rPr>
        <w:br/>
      </w:r>
    </w:p>
    <w:p w:rsidRPr="00F345E0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345E0">
        <w:rPr>
          <w:rFonts w:ascii="Arial" w:hAnsi="Arial" w:eastAsia="Times New Roman" w:cs="Arial"/>
          <w:sz w:val="24"/>
          <w:szCs w:val="24"/>
          <w:lang w:eastAsia="en-GB"/>
        </w:rPr>
        <w:t>The distribution of male and female employees across pay quartiles highlights</w:t>
      </w:r>
      <w:r w:rsidR="0025618C">
        <w:rPr>
          <w:rFonts w:ascii="Arial" w:hAnsi="Arial" w:eastAsia="Times New Roman" w:cs="Arial"/>
          <w:sz w:val="24"/>
          <w:szCs w:val="24"/>
          <w:lang w:eastAsia="en-GB"/>
        </w:rPr>
        <w:t xml:space="preserve"> areas of gender representation.</w:t>
      </w:r>
      <w:r w:rsidR="0025618C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F345E0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In the lower quartile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62.50% of employees are male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and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37.50% are female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.  This indicates a higher male representation in lower paying roles and is representative of the fact that all employees within the site based W</w:t>
      </w:r>
      <w:r w:rsidR="002A34E5">
        <w:rPr>
          <w:rFonts w:ascii="Arial" w:hAnsi="Arial" w:eastAsia="Times New Roman" w:cs="Arial"/>
          <w:sz w:val="24"/>
          <w:szCs w:val="24"/>
          <w:lang w:eastAsia="en-GB"/>
        </w:rPr>
        <w:t>aste S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ervice are m</w:t>
      </w:r>
      <w:r w:rsidR="002A34E5">
        <w:rPr>
          <w:rFonts w:ascii="Arial" w:hAnsi="Arial" w:eastAsia="Times New Roman" w:cs="Arial"/>
          <w:sz w:val="24"/>
          <w:szCs w:val="24"/>
          <w:lang w:eastAsia="en-GB"/>
        </w:rPr>
        <w:t xml:space="preserve">ale,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and receive salaries at the lower range of the pay and grading structure.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lastRenderedPageBreak/>
        <w:br/>
        <w:t xml:space="preserve">In the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lower middle quartile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and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upper middle quartile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40.84% of employees are male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, and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59.15% are female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.  Females are better represented in these middle quartiles, suggesting progress toward gender balance in these pay ranges and may be representative of the good range of family friendly policies </w:t>
      </w:r>
      <w:r w:rsidR="002A34E5">
        <w:rPr>
          <w:rFonts w:ascii="Arial" w:hAnsi="Arial" w:eastAsia="Times New Roman" w:cs="Arial"/>
          <w:sz w:val="24"/>
          <w:szCs w:val="24"/>
          <w:lang w:eastAsia="en-GB"/>
        </w:rPr>
        <w:t xml:space="preserve">offered by 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the C</w:t>
      </w:r>
      <w:r w:rsidR="002A34E5">
        <w:rPr>
          <w:rFonts w:ascii="Arial" w:hAnsi="Arial" w:eastAsia="Times New Roman" w:cs="Arial"/>
          <w:sz w:val="24"/>
          <w:szCs w:val="24"/>
          <w:lang w:eastAsia="en-GB"/>
        </w:rPr>
        <w:t>ouncil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F345E0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In the upper quartile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57.74% of employees are male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and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42.25% are female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>.  Despite the fact that the Council’s Chief Executive role is occupied by a female, a greater percentage of male employees dominate higher paying roles, though the representation of females (42.25%) is relatively strong compared to the national picture.  (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Office for National Statistics (ONS) gender pay gap data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 indicates that nationally, women are often underrepresented in senior, high paying roles, with representation frequently below 40% at the upper quartile level).</w:t>
      </w:r>
    </w:p>
    <w:p w:rsidRPr="00F345E0" w:rsidR="00F345E0" w:rsidP="00F345E0" w:rsidRDefault="00F345E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8B543F" w:rsidP="00F345E0" w:rsidRDefault="008B543F">
      <w:pPr>
        <w:spacing w:after="0" w:line="240" w:lineRule="auto"/>
        <w:outlineLvl w:val="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en-GB"/>
        </w:rPr>
        <w:t>Conclusion</w:t>
      </w:r>
    </w:p>
    <w:p w:rsidR="008B543F" w:rsidP="008B543F" w:rsidRDefault="008B543F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7746A2" w:rsidP="008B543F" w:rsidRDefault="008B543F">
      <w:pPr>
        <w:spacing w:after="0" w:line="240" w:lineRule="auto"/>
        <w:outlineLvl w:val="2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Compared to 2023</w:t>
      </w:r>
      <w:r w:rsidRPr="00F345E0">
        <w:rPr>
          <w:rFonts w:ascii="Arial" w:hAnsi="Arial" w:eastAsia="Times New Roman" w:cs="Arial"/>
          <w:sz w:val="24"/>
          <w:szCs w:val="24"/>
          <w:lang w:eastAsia="en-GB"/>
        </w:rPr>
        <w:t xml:space="preserve">, Hertsmere has reduced 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its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mean gender pay gap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(from 4.45% to 2.73%) and reversed its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median pay gap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(from 2.60% in favour of males to 3.47% in favour of females). This highlights progress towards gender pay equity.</w:t>
      </w:r>
      <w:r w:rsidRPr="002A34E5" w:rsidR="00F345E0"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="007746A2" w:rsidP="007746A2" w:rsidRDefault="00F345E0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Hertsmere has a significantly lower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mean gender pay gap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than the national average, and the </w:t>
      </w:r>
      <w:r w:rsidRPr="002A34E5">
        <w:rPr>
          <w:rFonts w:ascii="Arial" w:hAnsi="Arial" w:eastAsia="Times New Roman" w:cs="Arial"/>
          <w:bCs/>
          <w:sz w:val="24"/>
          <w:szCs w:val="24"/>
          <w:lang w:eastAsia="en-GB"/>
        </w:rPr>
        <w:t>median pay gap</w:t>
      </w:r>
      <w:r w:rsidRPr="002A34E5">
        <w:rPr>
          <w:rFonts w:ascii="Arial" w:hAnsi="Arial" w:eastAsia="Times New Roman" w:cs="Arial"/>
          <w:sz w:val="24"/>
          <w:szCs w:val="24"/>
          <w:lang w:eastAsia="en-GB"/>
        </w:rPr>
        <w:t xml:space="preserve"> now favours females. Continued efforts in recruitment and development can sustain and enhance this progress.</w:t>
      </w:r>
      <w:r w:rsidR="007746A2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  </w:t>
      </w:r>
      <w:r w:rsidRPr="00692830" w:rsidR="008838D8">
        <w:rPr>
          <w:rFonts w:ascii="Arial" w:hAnsi="Arial" w:cs="Arial"/>
          <w:sz w:val="24"/>
          <w:szCs w:val="24"/>
        </w:rPr>
        <w:t xml:space="preserve">A structured job evaluation scheme, equal pay audits and family friendly policies are key to Hertsmere’s results.  </w:t>
      </w:r>
    </w:p>
    <w:p w:rsidR="00663A9B" w:rsidP="007746A2" w:rsidRDefault="00663A9B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663A9B" w:rsidP="007746A2" w:rsidRDefault="00663A9B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findings indicate a bonus pay disparity, the Council is satisfied that </w:t>
      </w:r>
      <w:r w:rsidR="0025618C">
        <w:rPr>
          <w:rFonts w:ascii="Arial" w:hAnsi="Arial" w:cs="Arial"/>
          <w:sz w:val="24"/>
          <w:szCs w:val="24"/>
        </w:rPr>
        <w:t>this is</w:t>
      </w:r>
      <w:r w:rsidR="0060740E">
        <w:rPr>
          <w:rFonts w:ascii="Arial" w:hAnsi="Arial" w:cs="Arial"/>
          <w:sz w:val="24"/>
          <w:szCs w:val="24"/>
        </w:rPr>
        <w:t xml:space="preserve"> reasonable as it is</w:t>
      </w:r>
      <w:r w:rsidR="0025618C">
        <w:rPr>
          <w:rFonts w:ascii="Arial" w:hAnsi="Arial" w:cs="Arial"/>
          <w:sz w:val="24"/>
          <w:szCs w:val="24"/>
        </w:rPr>
        <w:t xml:space="preserve"> primarily due to </w:t>
      </w:r>
      <w:r w:rsidR="0060740E">
        <w:rPr>
          <w:rFonts w:ascii="Arial" w:hAnsi="Arial" w:cs="Arial"/>
          <w:sz w:val="24"/>
          <w:szCs w:val="24"/>
        </w:rPr>
        <w:t>the</w:t>
      </w:r>
      <w:r w:rsidR="0025618C">
        <w:rPr>
          <w:rFonts w:ascii="Arial" w:hAnsi="Arial" w:cs="Arial"/>
          <w:sz w:val="24"/>
          <w:szCs w:val="24"/>
        </w:rPr>
        <w:t xml:space="preserve"> strategic decision to pay a retention bonus to address </w:t>
      </w:r>
      <w:r w:rsidR="0060740E">
        <w:rPr>
          <w:rFonts w:ascii="Arial" w:hAnsi="Arial" w:cs="Arial"/>
          <w:sz w:val="24"/>
          <w:szCs w:val="24"/>
        </w:rPr>
        <w:t xml:space="preserve">specific </w:t>
      </w:r>
      <w:r w:rsidR="0025618C">
        <w:rPr>
          <w:rFonts w:ascii="Arial" w:hAnsi="Arial" w:cs="Arial"/>
          <w:sz w:val="24"/>
          <w:szCs w:val="24"/>
        </w:rPr>
        <w:t>recruitment and retention challenges with</w:t>
      </w:r>
      <w:r w:rsidR="0060740E">
        <w:rPr>
          <w:rFonts w:ascii="Arial" w:hAnsi="Arial" w:cs="Arial"/>
          <w:sz w:val="24"/>
          <w:szCs w:val="24"/>
        </w:rPr>
        <w:t>in</w:t>
      </w:r>
      <w:r w:rsidR="0025618C">
        <w:rPr>
          <w:rFonts w:ascii="Arial" w:hAnsi="Arial" w:cs="Arial"/>
          <w:sz w:val="24"/>
          <w:szCs w:val="24"/>
        </w:rPr>
        <w:t xml:space="preserve"> the </w:t>
      </w:r>
      <w:r w:rsidR="0060740E">
        <w:rPr>
          <w:rFonts w:ascii="Arial" w:hAnsi="Arial" w:cs="Arial"/>
          <w:sz w:val="24"/>
          <w:szCs w:val="24"/>
        </w:rPr>
        <w:t xml:space="preserve">site based </w:t>
      </w:r>
      <w:r w:rsidR="0025618C">
        <w:rPr>
          <w:rFonts w:ascii="Arial" w:hAnsi="Arial" w:cs="Arial"/>
          <w:sz w:val="24"/>
          <w:szCs w:val="24"/>
        </w:rPr>
        <w:t>Waste Service</w:t>
      </w:r>
      <w:r w:rsidR="0060740E">
        <w:rPr>
          <w:rFonts w:ascii="Arial" w:hAnsi="Arial" w:cs="Arial"/>
          <w:sz w:val="24"/>
          <w:szCs w:val="24"/>
        </w:rPr>
        <w:t>, of which all employees are currently male.</w:t>
      </w:r>
      <w:r w:rsidR="0025618C">
        <w:rPr>
          <w:rFonts w:ascii="Arial" w:hAnsi="Arial" w:cs="Arial"/>
          <w:sz w:val="24"/>
          <w:szCs w:val="24"/>
        </w:rPr>
        <w:t xml:space="preserve"> </w:t>
      </w:r>
    </w:p>
    <w:p w:rsidR="00663A9B" w:rsidP="007746A2" w:rsidRDefault="00663A9B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663A9B" w:rsidP="007746A2" w:rsidRDefault="00663A9B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Analysis of the pay quartiles has indicated a slight underrepresentation within the upper quartile, and whilst Hertsmere’s position is still strong in comparison with the national picture, the Council b</w:t>
      </w:r>
      <w:r w:rsidR="0060740E">
        <w:rPr>
          <w:rFonts w:ascii="Arial" w:hAnsi="Arial" w:cs="Arial"/>
          <w:sz w:val="24"/>
          <w:szCs w:val="24"/>
        </w:rPr>
        <w:t>elieves more could</w:t>
      </w:r>
      <w:r>
        <w:rPr>
          <w:rFonts w:ascii="Arial" w:hAnsi="Arial" w:cs="Arial"/>
          <w:sz w:val="24"/>
          <w:szCs w:val="24"/>
        </w:rPr>
        <w:t xml:space="preserve"> be done to provide leadership development training to female employees.</w:t>
      </w:r>
    </w:p>
    <w:p w:rsidR="007746A2" w:rsidP="007746A2" w:rsidRDefault="007746A2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Pr="007746A2" w:rsidR="008838D8" w:rsidP="007746A2" w:rsidRDefault="00663A9B">
      <w:pPr>
        <w:spacing w:after="0" w:line="240" w:lineRule="auto"/>
        <w:outlineLvl w:val="2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G</w:t>
      </w:r>
      <w:r w:rsidRPr="00692830" w:rsidR="008838D8">
        <w:rPr>
          <w:rFonts w:ascii="Arial" w:hAnsi="Arial" w:cs="Arial"/>
          <w:sz w:val="24"/>
          <w:szCs w:val="24"/>
        </w:rPr>
        <w:t>ender pay and equal pay will continue to be monitored closely</w:t>
      </w:r>
      <w:r w:rsidR="008323E9">
        <w:rPr>
          <w:rFonts w:ascii="Arial" w:hAnsi="Arial" w:cs="Arial"/>
          <w:sz w:val="24"/>
          <w:szCs w:val="24"/>
        </w:rPr>
        <w:t xml:space="preserve"> at Hertsmere</w:t>
      </w:r>
      <w:r w:rsidRPr="00692830" w:rsidR="008838D8">
        <w:rPr>
          <w:rFonts w:ascii="Arial" w:hAnsi="Arial" w:cs="Arial"/>
          <w:sz w:val="24"/>
          <w:szCs w:val="24"/>
        </w:rPr>
        <w:t xml:space="preserve"> to ensure that this </w:t>
      </w:r>
      <w:r>
        <w:rPr>
          <w:rFonts w:ascii="Arial" w:hAnsi="Arial" w:cs="Arial"/>
          <w:sz w:val="24"/>
          <w:szCs w:val="24"/>
        </w:rPr>
        <w:t xml:space="preserve">strong </w:t>
      </w:r>
      <w:r w:rsidR="008323E9">
        <w:rPr>
          <w:rFonts w:ascii="Arial" w:hAnsi="Arial" w:cs="Arial"/>
          <w:sz w:val="24"/>
          <w:szCs w:val="24"/>
        </w:rPr>
        <w:t>and positive position is maintained</w:t>
      </w:r>
      <w:r w:rsidRPr="00692830" w:rsidR="008838D8">
        <w:rPr>
          <w:rFonts w:ascii="Arial" w:hAnsi="Arial" w:cs="Arial"/>
          <w:sz w:val="24"/>
          <w:szCs w:val="24"/>
        </w:rPr>
        <w:t>.</w:t>
      </w: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2301F" w:rsidR="008838D8" w:rsidP="008838D8" w:rsidRDefault="00883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2301F">
        <w:rPr>
          <w:rFonts w:ascii="Arial" w:hAnsi="Arial" w:cs="Arial"/>
          <w:sz w:val="24"/>
          <w:szCs w:val="24"/>
        </w:rPr>
        <w:t xml:space="preserve">We confirm that the data provided is accurate and has been prepared in accordance with </w:t>
      </w:r>
      <w:r w:rsidRPr="0012301F">
        <w:rPr>
          <w:rFonts w:ascii="Arial" w:hAnsi="Arial" w:cs="Arial"/>
          <w:iCs/>
          <w:sz w:val="24"/>
          <w:szCs w:val="24"/>
        </w:rPr>
        <w:t>The Equality Act 2010 (Gender Pay Gap Information) Regulations 2017.</w:t>
      </w:r>
    </w:p>
    <w:p w:rsidRPr="0012301F" w:rsidR="008838D8" w:rsidP="008838D8" w:rsidRDefault="008838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838D8" w:rsidP="008838D8" w:rsidRDefault="008838D8">
      <w:pPr>
        <w:spacing w:after="0" w:line="240" w:lineRule="auto"/>
        <w:rPr>
          <w:noProof/>
          <w:lang w:eastAsia="en-GB"/>
        </w:rPr>
      </w:pPr>
      <w:r w:rsidRPr="00D35BE3">
        <w:rPr>
          <w:noProof/>
          <w:lang w:eastAsia="en-GB"/>
        </w:rPr>
        <w:t xml:space="preserve"> </w:t>
      </w:r>
      <w:r w:rsidRPr="00D35BE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48CB027" wp14:editId="744E8BD3">
            <wp:extent cx="1510665" cy="38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751" cy="38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12301F"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Clare Noble</w:t>
      </w:r>
    </w:p>
    <w:p w:rsidR="008838D8" w:rsidP="008838D8" w:rsidRDefault="008838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Acting </w:t>
      </w:r>
      <w:r w:rsidRPr="0012301F">
        <w:rPr>
          <w:rFonts w:ascii="Arial" w:hAnsi="Arial" w:cs="Arial"/>
          <w:sz w:val="24"/>
          <w:szCs w:val="24"/>
        </w:rPr>
        <w:t>Head of Human Resources</w:t>
      </w:r>
    </w:p>
    <w:p w:rsidRPr="00510059" w:rsidR="008838D8" w:rsidP="008320CE" w:rsidRDefault="008838D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E1FAD" w:rsidRDefault="00C32E91"/>
    <w:sectPr w:rsidR="00DE1FAD" w:rsidSect="00907D0B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08" w:rsidRDefault="002224C9">
      <w:pPr>
        <w:spacing w:after="0" w:line="240" w:lineRule="auto"/>
      </w:pPr>
      <w:r>
        <w:separator/>
      </w:r>
    </w:p>
  </w:endnote>
  <w:endnote w:type="continuationSeparator" w:id="0">
    <w:p w:rsidR="002C3908" w:rsidRDefault="0022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332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912" w:rsidRDefault="00DF3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E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0912" w:rsidRDefault="00C3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08" w:rsidRDefault="002224C9">
      <w:pPr>
        <w:spacing w:after="0" w:line="240" w:lineRule="auto"/>
      </w:pPr>
      <w:r>
        <w:separator/>
      </w:r>
    </w:p>
  </w:footnote>
  <w:footnote w:type="continuationSeparator" w:id="0">
    <w:p w:rsidR="002C3908" w:rsidRDefault="0022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C38"/>
    <w:multiLevelType w:val="multilevel"/>
    <w:tmpl w:val="19EA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75B14"/>
    <w:multiLevelType w:val="multilevel"/>
    <w:tmpl w:val="C10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77E36"/>
    <w:multiLevelType w:val="multilevel"/>
    <w:tmpl w:val="4D86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40034"/>
    <w:multiLevelType w:val="multilevel"/>
    <w:tmpl w:val="D468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A3E3A"/>
    <w:multiLevelType w:val="multilevel"/>
    <w:tmpl w:val="F1D8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21E50"/>
    <w:multiLevelType w:val="multilevel"/>
    <w:tmpl w:val="2008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53E07"/>
    <w:multiLevelType w:val="multilevel"/>
    <w:tmpl w:val="820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36414"/>
    <w:multiLevelType w:val="multilevel"/>
    <w:tmpl w:val="4B0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20037"/>
    <w:multiLevelType w:val="multilevel"/>
    <w:tmpl w:val="CA5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8"/>
    <w:rsid w:val="00133F5D"/>
    <w:rsid w:val="001F0798"/>
    <w:rsid w:val="002224C9"/>
    <w:rsid w:val="0025618C"/>
    <w:rsid w:val="002A34E5"/>
    <w:rsid w:val="002C3908"/>
    <w:rsid w:val="002D7FB1"/>
    <w:rsid w:val="003524E0"/>
    <w:rsid w:val="00436CEF"/>
    <w:rsid w:val="004F7814"/>
    <w:rsid w:val="005970CD"/>
    <w:rsid w:val="0060740E"/>
    <w:rsid w:val="0061723C"/>
    <w:rsid w:val="00663A9B"/>
    <w:rsid w:val="0068292D"/>
    <w:rsid w:val="006A09AA"/>
    <w:rsid w:val="007746A2"/>
    <w:rsid w:val="008320CE"/>
    <w:rsid w:val="008323E9"/>
    <w:rsid w:val="00842967"/>
    <w:rsid w:val="008838D8"/>
    <w:rsid w:val="00897424"/>
    <w:rsid w:val="008B543F"/>
    <w:rsid w:val="009D4001"/>
    <w:rsid w:val="00AB0B05"/>
    <w:rsid w:val="00B355EB"/>
    <w:rsid w:val="00BA176F"/>
    <w:rsid w:val="00C32E91"/>
    <w:rsid w:val="00DF3D40"/>
    <w:rsid w:val="00E112A2"/>
    <w:rsid w:val="00E1444A"/>
    <w:rsid w:val="00E6660E"/>
    <w:rsid w:val="00F16088"/>
    <w:rsid w:val="00F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49D03-DDDD-405A-80C0-8E35BD54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8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3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D8"/>
  </w:style>
  <w:style w:type="paragraph" w:styleId="ListParagraph">
    <w:name w:val="List Paragraph"/>
    <w:basedOn w:val="Normal"/>
    <w:uiPriority w:val="34"/>
    <w:qFormat/>
    <w:rsid w:val="008838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8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Pay Gap Report 2024</dc:title>
  <dc:subject>Gender pay gap report 2024</dc:subject>
  <dc:creator>Clare Noble</dc:creator>
  <cp:keywords>
  </cp:keywords>
  <dc:description>
  </dc:description>
  <cp:lastModifiedBy>Yiota Chrysanthou</cp:lastModifiedBy>
  <cp:revision>2</cp:revision>
  <dcterms:created xsi:type="dcterms:W3CDTF">2025-02-04T09:57:00Z</dcterms:created>
  <dcterms:modified xsi:type="dcterms:W3CDTF">2025-02-04T13:03:54Z</dcterms:modified>
</cp:coreProperties>
</file>