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bookmarkStart w:id="0" w:name="_GoBack"/>
      <w:bookmarkEnd w:id="0"/>
      <w:r w:rsidRPr="00E2529F">
        <w:rPr>
          <w:rFonts w:ascii="Arial" w:eastAsia="Times New Roman" w:hAnsi="Arial" w:cs="Arial"/>
          <w:b/>
          <w:bCs/>
          <w:sz w:val="24"/>
          <w:szCs w:val="24"/>
          <w:lang w:eastAsia="en-GB"/>
        </w:rPr>
        <w:t>Hertsmere Borough Council Gender Pay Gap Report</w:t>
      </w:r>
      <w:r w:rsidR="007114D8">
        <w:rPr>
          <w:rFonts w:ascii="Arial" w:eastAsia="Times New Roman" w:hAnsi="Arial" w:cs="Arial"/>
          <w:b/>
          <w:bCs/>
          <w:sz w:val="24"/>
          <w:szCs w:val="24"/>
          <w:lang w:eastAsia="en-GB"/>
        </w:rPr>
        <w:t xml:space="preserve"> 2025</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Hertsmere Borough Council is required to publish information about its Gender Pay Gap in accordance with the Public Sector Equality Duty on an annual basis. The statistics required include the mean and median gender pay gaps; the mean and median gender bonus gaps; the proportion of males and females who received bonuses; and the proportions of male and female employees in each pay quartile.</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gender pay gap shows the difference in the average hourly pay between all males and females in a workforce. If a workforce has a particularly high gender pay gap, this can indicate there may be a number of issues to address. The gender pay gap is different to equal pay. Equal pay deals with the pay differences between males and females who carry out the same jobs, similar jobs or work of equal value. It is unlawful to pay people unequally because they are a male or a female.</w:t>
      </w:r>
    </w:p>
    <w:p w:rsidR="00E2529F" w:rsidRPr="00E2529F" w:rsidRDefault="00E2529F" w:rsidP="00211A30">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Hertsmere Borough Council’s gender pay gap report as at the snapshot date of </w:t>
      </w:r>
      <w:r w:rsidRPr="00E2529F">
        <w:rPr>
          <w:rFonts w:ascii="Arial" w:eastAsia="Times New Roman" w:hAnsi="Arial" w:cs="Arial"/>
          <w:b/>
          <w:bCs/>
          <w:sz w:val="24"/>
          <w:szCs w:val="24"/>
          <w:lang w:eastAsia="en-GB"/>
        </w:rPr>
        <w:t>31 March 2025</w:t>
      </w:r>
      <w:r w:rsidRPr="00E2529F">
        <w:rPr>
          <w:rFonts w:ascii="Arial" w:eastAsia="Times New Roman" w:hAnsi="Arial" w:cs="Arial"/>
          <w:sz w:val="24"/>
          <w:szCs w:val="24"/>
          <w:lang w:eastAsia="en-GB"/>
        </w:rPr>
        <w:t xml:space="preserve"> is set out below.</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Median and Mean Gender Pay Gap of Hourly Pay Rate</w:t>
      </w:r>
    </w:p>
    <w:p w:rsidR="00E2529F" w:rsidRPr="00E2529F" w:rsidRDefault="00E2529F" w:rsidP="00E2529F">
      <w:pPr>
        <w:numPr>
          <w:ilvl w:val="0"/>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hourly pay</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males: £20.14</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females: £20.96</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gender pay gap: -4.07% (in favour of females)</w:t>
      </w:r>
      <w:r w:rsidR="00211A30">
        <w:rPr>
          <w:rFonts w:ascii="Arial" w:eastAsia="Times New Roman" w:hAnsi="Arial" w:cs="Arial"/>
          <w:b/>
          <w:bCs/>
          <w:sz w:val="24"/>
          <w:szCs w:val="24"/>
          <w:lang w:eastAsia="en-GB"/>
        </w:rPr>
        <w:br/>
      </w:r>
    </w:p>
    <w:p w:rsidR="00E2529F" w:rsidRPr="00E2529F" w:rsidRDefault="00E2529F" w:rsidP="00E2529F">
      <w:pPr>
        <w:numPr>
          <w:ilvl w:val="0"/>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hourly pay</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males: £17.50</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females: £18.63</w:t>
      </w:r>
    </w:p>
    <w:p w:rsidR="00E2529F" w:rsidRPr="00E2529F" w:rsidRDefault="00E2529F" w:rsidP="00211A30">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gender pay gap: -6.45% (in favour of females)</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Mean and Median Bonus Pay Gap</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reported bonuses relate to the period </w:t>
      </w:r>
      <w:r w:rsidRPr="00E2529F">
        <w:rPr>
          <w:rFonts w:ascii="Arial" w:eastAsia="Times New Roman" w:hAnsi="Arial" w:cs="Arial"/>
          <w:b/>
          <w:bCs/>
          <w:sz w:val="24"/>
          <w:szCs w:val="24"/>
          <w:lang w:eastAsia="en-GB"/>
        </w:rPr>
        <w:t>1 April 2024 to 31 March 2025</w:t>
      </w:r>
      <w:r w:rsidRPr="00E2529F">
        <w:rPr>
          <w:rFonts w:ascii="Arial" w:eastAsia="Times New Roman" w:hAnsi="Arial" w:cs="Arial"/>
          <w:sz w:val="24"/>
          <w:szCs w:val="24"/>
          <w:lang w:eastAsia="en-GB"/>
        </w:rPr>
        <w:t>.</w:t>
      </w:r>
    </w:p>
    <w:p w:rsidR="00E2529F" w:rsidRPr="00E2529F" w:rsidRDefault="00E2529F" w:rsidP="00E2529F">
      <w:pPr>
        <w:numPr>
          <w:ilvl w:val="0"/>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bonus pay</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males: £264.67</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females: £190.55</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gender bonus pay gap: 28% (in favour of males)</w:t>
      </w:r>
      <w:r w:rsidR="00211A30">
        <w:rPr>
          <w:rFonts w:ascii="Arial" w:eastAsia="Times New Roman" w:hAnsi="Arial" w:cs="Arial"/>
          <w:b/>
          <w:bCs/>
          <w:sz w:val="24"/>
          <w:szCs w:val="24"/>
          <w:lang w:eastAsia="en-GB"/>
        </w:rPr>
        <w:br/>
      </w:r>
    </w:p>
    <w:p w:rsidR="00E2529F" w:rsidRPr="00E2529F" w:rsidRDefault="00E2529F" w:rsidP="00E2529F">
      <w:pPr>
        <w:numPr>
          <w:ilvl w:val="0"/>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bonus pay</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males: £100</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females: £100</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gender bonus pay gap: 0%</w:t>
      </w:r>
      <w:r w:rsidR="00211A30">
        <w:rPr>
          <w:rFonts w:ascii="Arial" w:eastAsia="Times New Roman" w:hAnsi="Arial" w:cs="Arial"/>
          <w:b/>
          <w:bCs/>
          <w:sz w:val="24"/>
          <w:szCs w:val="24"/>
          <w:lang w:eastAsia="en-GB"/>
        </w:rPr>
        <w:br/>
      </w:r>
    </w:p>
    <w:p w:rsidR="00E2529F" w:rsidRPr="00E2529F" w:rsidRDefault="00E2529F" w:rsidP="00E2529F">
      <w:pPr>
        <w:numPr>
          <w:ilvl w:val="0"/>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Proportion receiving a bonus</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Proportion of males: 80.95%</w:t>
      </w:r>
    </w:p>
    <w:p w:rsidR="00E2529F" w:rsidRPr="00E2529F" w:rsidRDefault="00E2529F" w:rsidP="00211A30">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Proportion of females: 65.80%</w:t>
      </w:r>
      <w:r w:rsidR="00376077">
        <w:rPr>
          <w:rFonts w:ascii="Arial" w:eastAsia="Times New Roman" w:hAnsi="Arial" w:cs="Arial"/>
          <w:sz w:val="24"/>
          <w:szCs w:val="24"/>
          <w:lang w:eastAsia="en-GB"/>
        </w:rPr>
        <w:br/>
      </w:r>
      <w:r w:rsidR="00376077">
        <w:rPr>
          <w:rFonts w:ascii="Arial" w:eastAsia="Times New Roman" w:hAnsi="Arial" w:cs="Arial"/>
          <w:sz w:val="24"/>
          <w:szCs w:val="24"/>
          <w:lang w:eastAsia="en-GB"/>
        </w:rPr>
        <w:br/>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lastRenderedPageBreak/>
        <w:t>Bonuses Paid at Hertsmere Borough Council</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bonuses paid at Hertsmere relate to the following:</w:t>
      </w:r>
    </w:p>
    <w:p w:rsidR="00E2529F" w:rsidRPr="00E2529F" w:rsidRDefault="00E2529F" w:rsidP="00E2529F">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Loyalty bonus</w:t>
      </w:r>
      <w:r w:rsidRPr="00E2529F">
        <w:rPr>
          <w:rFonts w:ascii="Arial" w:eastAsia="Times New Roman" w:hAnsi="Arial" w:cs="Arial"/>
          <w:sz w:val="24"/>
          <w:szCs w:val="24"/>
          <w:lang w:eastAsia="en-GB"/>
        </w:rPr>
        <w:t xml:space="preserve"> – Paid in vouchers to employees achieving 10, 20, 30 and 40 years’ service</w:t>
      </w:r>
    </w:p>
    <w:p w:rsidR="00E2529F" w:rsidRPr="00E2529F" w:rsidRDefault="00E2529F" w:rsidP="00E2529F">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Attendance bonus</w:t>
      </w:r>
      <w:r w:rsidRPr="00E2529F">
        <w:rPr>
          <w:rFonts w:ascii="Arial" w:eastAsia="Times New Roman" w:hAnsi="Arial" w:cs="Arial"/>
          <w:sz w:val="24"/>
          <w:szCs w:val="24"/>
          <w:lang w:eastAsia="en-GB"/>
        </w:rPr>
        <w:t xml:space="preserve"> – Paid in vouchers for 1 and 2 years of excellent attendance</w:t>
      </w:r>
    </w:p>
    <w:p w:rsidR="00E2529F" w:rsidRPr="00E2529F" w:rsidRDefault="00E2529F" w:rsidP="00E2529F">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Stars Award bonus</w:t>
      </w:r>
      <w:r w:rsidRPr="00E2529F">
        <w:rPr>
          <w:rFonts w:ascii="Arial" w:eastAsia="Times New Roman" w:hAnsi="Arial" w:cs="Arial"/>
          <w:sz w:val="24"/>
          <w:szCs w:val="24"/>
          <w:lang w:eastAsia="en-GB"/>
        </w:rPr>
        <w:t xml:space="preserve"> – Paid in vouchers for nominated staff demonstrating excellent performance</w:t>
      </w:r>
    </w:p>
    <w:p w:rsidR="00E2529F" w:rsidRPr="00E2529F" w:rsidRDefault="00E2529F" w:rsidP="00211A30">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Retention bonus</w:t>
      </w:r>
      <w:r w:rsidRPr="00E2529F">
        <w:rPr>
          <w:rFonts w:ascii="Arial" w:eastAsia="Times New Roman" w:hAnsi="Arial" w:cs="Arial"/>
          <w:sz w:val="24"/>
          <w:szCs w:val="24"/>
          <w:lang w:eastAsia="en-GB"/>
        </w:rPr>
        <w:t xml:space="preserve"> – Paid to Refuse Loaders and Drivers in recognition of recruitment and retention difficulties in these roles</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Proportion of Male and Female Employees in Each Pay Quartile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3"/>
        <w:gridCol w:w="1207"/>
        <w:gridCol w:w="594"/>
        <w:gridCol w:w="888"/>
        <w:gridCol w:w="1053"/>
        <w:gridCol w:w="1276"/>
      </w:tblGrid>
      <w:tr w:rsidR="00E2529F" w:rsidRPr="00E2529F" w:rsidTr="00211A30">
        <w:trPr>
          <w:tblHeader/>
          <w:tblCellSpacing w:w="15" w:type="dxa"/>
        </w:trPr>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Quartile</w:t>
            </w:r>
          </w:p>
        </w:tc>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Total staff</w:t>
            </w:r>
          </w:p>
        </w:tc>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Male</w:t>
            </w:r>
          </w:p>
        </w:tc>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Female</w:t>
            </w:r>
          </w:p>
        </w:tc>
        <w:tc>
          <w:tcPr>
            <w:tcW w:w="1023" w:type="dxa"/>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Male %</w:t>
            </w:r>
          </w:p>
        </w:tc>
        <w:tc>
          <w:tcPr>
            <w:tcW w:w="1231" w:type="dxa"/>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Female %</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Lower</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55</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23</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70.51%</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29.48%</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Lower middle</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35</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43</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44.87%</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55.12%</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Upper middle</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30</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48</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38.46%</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61.53%</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Upper</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43</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35</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55.12%</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44.87%</w:t>
            </w:r>
          </w:p>
        </w:tc>
      </w:tr>
    </w:tbl>
    <w:p w:rsidR="00E2529F" w:rsidRPr="00E2529F" w:rsidRDefault="00E2529F" w:rsidP="00E2529F">
      <w:pPr>
        <w:spacing w:after="0" w:line="240" w:lineRule="auto"/>
        <w:rPr>
          <w:rFonts w:ascii="Arial" w:eastAsia="Times New Roman" w:hAnsi="Arial" w:cs="Arial"/>
          <w:sz w:val="24"/>
          <w:szCs w:val="24"/>
          <w:lang w:eastAsia="en-GB"/>
        </w:rPr>
      </w:pP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Gender Pay Gap Analysis</w:t>
      </w:r>
    </w:p>
    <w:p w:rsidR="00E2529F" w:rsidRPr="00E2529F" w:rsidRDefault="00E2529F" w:rsidP="00E2529F">
      <w:pPr>
        <w:spacing w:before="100" w:beforeAutospacing="1" w:after="100" w:afterAutospacing="1" w:line="240" w:lineRule="auto"/>
        <w:outlineLvl w:val="2"/>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Mean Gender Pay Gap</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mean hourly gender pay gap is </w:t>
      </w:r>
      <w:r w:rsidRPr="00E2529F">
        <w:rPr>
          <w:rFonts w:ascii="Arial" w:eastAsia="Times New Roman" w:hAnsi="Arial" w:cs="Arial"/>
          <w:bCs/>
          <w:sz w:val="24"/>
          <w:szCs w:val="24"/>
          <w:lang w:eastAsia="en-GB"/>
        </w:rPr>
        <w:t>-4.07% in favour of females</w:t>
      </w:r>
      <w:r w:rsidRPr="00E2529F">
        <w:rPr>
          <w:rFonts w:ascii="Arial" w:eastAsia="Times New Roman" w:hAnsi="Arial" w:cs="Arial"/>
          <w:sz w:val="24"/>
          <w:szCs w:val="24"/>
          <w:lang w:eastAsia="en-GB"/>
        </w:rPr>
        <w:t xml:space="preserve">, meaning that on average females earn £0.82 more per hour than males. This represents a further </w:t>
      </w:r>
      <w:r w:rsidR="00FE46B7">
        <w:rPr>
          <w:rFonts w:ascii="Arial" w:eastAsia="Times New Roman" w:hAnsi="Arial" w:cs="Arial"/>
          <w:sz w:val="24"/>
          <w:szCs w:val="24"/>
          <w:lang w:eastAsia="en-GB"/>
        </w:rPr>
        <w:t>shift from</w:t>
      </w:r>
      <w:r w:rsidRPr="00E2529F">
        <w:rPr>
          <w:rFonts w:ascii="Arial" w:eastAsia="Times New Roman" w:hAnsi="Arial" w:cs="Arial"/>
          <w:sz w:val="24"/>
          <w:szCs w:val="24"/>
          <w:lang w:eastAsia="en-GB"/>
        </w:rPr>
        <w:t xml:space="preserve"> the 2024 position and places Hertsmere significantly ahead of the national position, where the mean gender pay gap remains in favour of males.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shift to a mean pay gap in favour of females reflects a combination of workforce composition and pay distribution, including strong female representation across middle and senior roles.</w:t>
      </w:r>
    </w:p>
    <w:p w:rsidR="00E2529F" w:rsidRPr="00E2529F" w:rsidRDefault="00E2529F" w:rsidP="00E2529F">
      <w:pPr>
        <w:spacing w:before="100" w:beforeAutospacing="1" w:after="100" w:afterAutospacing="1" w:line="240" w:lineRule="auto"/>
        <w:outlineLvl w:val="2"/>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Median Gender Pay Gap</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median hourly gender pay gap is </w:t>
      </w:r>
      <w:r w:rsidRPr="00E2529F">
        <w:rPr>
          <w:rFonts w:ascii="Arial" w:eastAsia="Times New Roman" w:hAnsi="Arial" w:cs="Arial"/>
          <w:bCs/>
          <w:sz w:val="24"/>
          <w:szCs w:val="24"/>
          <w:lang w:eastAsia="en-GB"/>
        </w:rPr>
        <w:t>-6.45% in favour of females</w:t>
      </w:r>
      <w:r w:rsidRPr="00E2529F">
        <w:rPr>
          <w:rFonts w:ascii="Arial" w:eastAsia="Times New Roman" w:hAnsi="Arial" w:cs="Arial"/>
          <w:sz w:val="24"/>
          <w:szCs w:val="24"/>
          <w:lang w:eastAsia="en-GB"/>
        </w:rPr>
        <w:t xml:space="preserve">, meaning that the median female employee earns £1.13 more per hour than the median male employee. This </w:t>
      </w:r>
      <w:r w:rsidR="00FE46B7">
        <w:rPr>
          <w:rFonts w:ascii="Arial" w:eastAsia="Times New Roman" w:hAnsi="Arial" w:cs="Arial"/>
          <w:sz w:val="24"/>
          <w:szCs w:val="24"/>
          <w:lang w:eastAsia="en-GB"/>
        </w:rPr>
        <w:t>further shifts</w:t>
      </w:r>
      <w:r w:rsidRPr="00E2529F">
        <w:rPr>
          <w:rFonts w:ascii="Arial" w:eastAsia="Times New Roman" w:hAnsi="Arial" w:cs="Arial"/>
          <w:sz w:val="24"/>
          <w:szCs w:val="24"/>
          <w:lang w:eastAsia="en-GB"/>
        </w:rPr>
        <w:t xml:space="preserve"> the position seen in 2024, when the median gap first moved in favour of females.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This indicates that at the “typical” pay level within the organisation, women are more likely to occupy roles with higher pay than men.</w:t>
      </w:r>
      <w:r w:rsidR="00211A30">
        <w:rPr>
          <w:rFonts w:ascii="Arial" w:eastAsia="Times New Roman" w:hAnsi="Arial" w:cs="Arial"/>
          <w:sz w:val="24"/>
          <w:szCs w:val="24"/>
          <w:lang w:eastAsia="en-GB"/>
        </w:rPr>
        <w:br/>
      </w:r>
      <w:r w:rsidR="00211A30">
        <w:rPr>
          <w:rFonts w:ascii="Arial" w:eastAsia="Times New Roman" w:hAnsi="Arial" w:cs="Arial"/>
          <w:sz w:val="24"/>
          <w:szCs w:val="24"/>
          <w:lang w:eastAsia="en-GB"/>
        </w:rPr>
        <w:br/>
      </w:r>
      <w:r w:rsidR="00211A30">
        <w:rPr>
          <w:rFonts w:ascii="Arial" w:eastAsia="Times New Roman" w:hAnsi="Arial" w:cs="Arial"/>
          <w:sz w:val="24"/>
          <w:szCs w:val="24"/>
          <w:lang w:eastAsia="en-GB"/>
        </w:rPr>
        <w:br/>
      </w:r>
      <w:r w:rsidR="00211A30">
        <w:rPr>
          <w:rFonts w:ascii="Arial" w:eastAsia="Times New Roman" w:hAnsi="Arial" w:cs="Arial"/>
          <w:sz w:val="24"/>
          <w:szCs w:val="24"/>
          <w:lang w:eastAsia="en-GB"/>
        </w:rPr>
        <w:br/>
      </w:r>
    </w:p>
    <w:p w:rsidR="00E2529F" w:rsidRPr="00E2529F" w:rsidRDefault="00E2529F" w:rsidP="00E2529F">
      <w:pPr>
        <w:spacing w:before="100" w:beforeAutospacing="1" w:after="100" w:afterAutospacing="1" w:line="240" w:lineRule="auto"/>
        <w:outlineLvl w:val="2"/>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lastRenderedPageBreak/>
        <w:t>Mean and Median Pay Analysis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presence of both a mean and median gender pay gap in favour of females indicates a pay structure where women are well represented across mid-range and senior roles, and where high earners are not disproportionately male.</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mean pay gap reflects the average pay across all employees and can be influenced by small numbers of very highly paid roles. The median pay gap reflects the midpoint of the pay distribution and is less affected by outliers.</w:t>
      </w:r>
    </w:p>
    <w:p w:rsidR="00E2529F" w:rsidRPr="00E2529F" w:rsidRDefault="00E2529F" w:rsidP="00211A30">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In 2025, both measures indicate a consistent pattern of female representation across pay grades, suggesting that previous actions around recruitment, development and progression have had a positive and sustained impact. This also demonstrates that women are not clustered solely in lower or mid-range roles, but are increasingly represented across the full pay spectrum.</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Bonus Pay Gap</w:t>
      </w:r>
      <w:r w:rsidR="00376077">
        <w:rPr>
          <w:rFonts w:ascii="Arial" w:eastAsia="Times New Roman" w:hAnsi="Arial" w:cs="Arial"/>
          <w:b/>
          <w:bCs/>
          <w:sz w:val="24"/>
          <w:szCs w:val="24"/>
          <w:lang w:eastAsia="en-GB"/>
        </w:rPr>
        <w:t xml:space="preserve"> Analysis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w:t>
      </w:r>
      <w:r w:rsidRPr="00E2529F">
        <w:rPr>
          <w:rFonts w:ascii="Arial" w:eastAsia="Times New Roman" w:hAnsi="Arial" w:cs="Arial"/>
          <w:bCs/>
          <w:sz w:val="24"/>
          <w:szCs w:val="24"/>
          <w:lang w:eastAsia="en-GB"/>
        </w:rPr>
        <w:t>mean bonus gender pay gap is 28% in favour of males</w:t>
      </w:r>
      <w:r w:rsidRPr="00E2529F">
        <w:rPr>
          <w:rFonts w:ascii="Arial" w:eastAsia="Times New Roman" w:hAnsi="Arial" w:cs="Arial"/>
          <w:sz w:val="24"/>
          <w:szCs w:val="24"/>
          <w:lang w:eastAsia="en-GB"/>
        </w:rPr>
        <w:t xml:space="preserve">, a significant reduction compared to the previous year. The </w:t>
      </w:r>
      <w:r w:rsidRPr="00E2529F">
        <w:rPr>
          <w:rFonts w:ascii="Arial" w:eastAsia="Times New Roman" w:hAnsi="Arial" w:cs="Arial"/>
          <w:bCs/>
          <w:sz w:val="24"/>
          <w:szCs w:val="24"/>
          <w:lang w:eastAsia="en-GB"/>
        </w:rPr>
        <w:t>median bonus pay gap is 0%</w:t>
      </w:r>
      <w:r w:rsidRPr="00E2529F">
        <w:rPr>
          <w:rFonts w:ascii="Arial" w:eastAsia="Times New Roman" w:hAnsi="Arial" w:cs="Arial"/>
          <w:sz w:val="24"/>
          <w:szCs w:val="24"/>
          <w:lang w:eastAsia="en-GB"/>
        </w:rPr>
        <w:t>, indicating that at the midpoint, males and females received equal bonus values.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proportion of employees receiving a bonus remains higher for males (80.95%) than for females (65.80%). As in previous years, this difference is influenced by the retention bonuses paid within the Waste Service, where roles attracting retention payments remain predominantly male.</w:t>
      </w:r>
    </w:p>
    <w:p w:rsidR="00E2529F" w:rsidRPr="00E2529F" w:rsidRDefault="00E2529F" w:rsidP="00211A30">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narrowing of the mean bonus gap and the equal median bonus demonstrate a more balanced distribution of bonus payments across the organisation overall.</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Pay Quartiles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Analysis of the pay quartiles shows the following patterns of gender representation:</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Lower quartile</w:t>
      </w:r>
      <w:r w:rsidRPr="00E2529F">
        <w:rPr>
          <w:rFonts w:ascii="Arial" w:eastAsia="Times New Roman" w:hAnsi="Arial" w:cs="Arial"/>
          <w:sz w:val="24"/>
          <w:szCs w:val="24"/>
          <w:lang w:eastAsia="en-GB"/>
        </w:rPr>
        <w:t>: 70.51% male and 29.48% female. This continues to reflect the concentration of male employees within the site-based Waste Service, where roles are positioned at the lower end of the pay and grading structure.</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Lower middle quartile</w:t>
      </w:r>
      <w:r w:rsidRPr="00E2529F">
        <w:rPr>
          <w:rFonts w:ascii="Arial" w:eastAsia="Times New Roman" w:hAnsi="Arial" w:cs="Arial"/>
          <w:sz w:val="24"/>
          <w:szCs w:val="24"/>
          <w:lang w:eastAsia="en-GB"/>
        </w:rPr>
        <w:t>: 44.87% male and 55.12% female. Females are better represented in this quartile, indicating a strong presence in lower-to-mid level professional and administrative roles.</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Upper middle quartile</w:t>
      </w:r>
      <w:r w:rsidRPr="00E2529F">
        <w:rPr>
          <w:rFonts w:ascii="Arial" w:eastAsia="Times New Roman" w:hAnsi="Arial" w:cs="Arial"/>
          <w:sz w:val="24"/>
          <w:szCs w:val="24"/>
          <w:lang w:eastAsia="en-GB"/>
        </w:rPr>
        <w:t xml:space="preserve">: 38.46% male and 61.53% female. This quartile shows particularly strong female representation, suggesting successful </w:t>
      </w:r>
      <w:r w:rsidR="00211A30">
        <w:rPr>
          <w:rFonts w:ascii="Arial" w:eastAsia="Times New Roman" w:hAnsi="Arial" w:cs="Arial"/>
          <w:sz w:val="24"/>
          <w:szCs w:val="24"/>
          <w:lang w:eastAsia="en-GB"/>
        </w:rPr>
        <w:t xml:space="preserve">recruitment and </w:t>
      </w:r>
      <w:r w:rsidRPr="00E2529F">
        <w:rPr>
          <w:rFonts w:ascii="Arial" w:eastAsia="Times New Roman" w:hAnsi="Arial" w:cs="Arial"/>
          <w:sz w:val="24"/>
          <w:szCs w:val="24"/>
          <w:lang w:eastAsia="en-GB"/>
        </w:rPr>
        <w:t xml:space="preserve">progression of women into </w:t>
      </w:r>
      <w:r w:rsidR="00211A30">
        <w:rPr>
          <w:rFonts w:ascii="Arial" w:eastAsia="Times New Roman" w:hAnsi="Arial" w:cs="Arial"/>
          <w:sz w:val="24"/>
          <w:szCs w:val="24"/>
          <w:lang w:eastAsia="en-GB"/>
        </w:rPr>
        <w:t xml:space="preserve">senior </w:t>
      </w:r>
      <w:r w:rsidRPr="00E2529F">
        <w:rPr>
          <w:rFonts w:ascii="Arial" w:eastAsia="Times New Roman" w:hAnsi="Arial" w:cs="Arial"/>
          <w:sz w:val="24"/>
          <w:szCs w:val="24"/>
          <w:lang w:eastAsia="en-GB"/>
        </w:rPr>
        <w:t>roles.</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Upper quartile</w:t>
      </w:r>
      <w:r w:rsidRPr="00E2529F">
        <w:rPr>
          <w:rFonts w:ascii="Arial" w:eastAsia="Times New Roman" w:hAnsi="Arial" w:cs="Arial"/>
          <w:sz w:val="24"/>
          <w:szCs w:val="24"/>
          <w:lang w:eastAsia="en-GB"/>
        </w:rPr>
        <w:t>: 55.12% male and 44.87% female. While males remain the majority in the highest paid roles, female representation is strong and exceeds typical national levels for senior roles.</w:t>
      </w:r>
    </w:p>
    <w:p w:rsidR="00E2529F" w:rsidRPr="00E2529F" w:rsidRDefault="00E2529F" w:rsidP="00E2529F">
      <w:pPr>
        <w:spacing w:after="0" w:line="240" w:lineRule="auto"/>
        <w:rPr>
          <w:rFonts w:ascii="Arial" w:eastAsia="Times New Roman" w:hAnsi="Arial" w:cs="Arial"/>
          <w:sz w:val="24"/>
          <w:szCs w:val="24"/>
          <w:lang w:eastAsia="en-GB"/>
        </w:rPr>
      </w:pPr>
    </w:p>
    <w:p w:rsidR="00376077" w:rsidRDefault="00376077" w:rsidP="00E2529F">
      <w:pPr>
        <w:spacing w:before="100" w:beforeAutospacing="1" w:after="100" w:afterAutospacing="1" w:line="240" w:lineRule="auto"/>
        <w:outlineLvl w:val="1"/>
        <w:rPr>
          <w:rFonts w:ascii="Arial" w:eastAsia="Times New Roman" w:hAnsi="Arial" w:cs="Arial"/>
          <w:b/>
          <w:bCs/>
          <w:sz w:val="24"/>
          <w:szCs w:val="24"/>
          <w:lang w:eastAsia="en-GB"/>
        </w:rPr>
      </w:pP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lastRenderedPageBreak/>
        <w:t>Conclusion</w:t>
      </w:r>
    </w:p>
    <w:p w:rsidR="00920D1F" w:rsidRPr="00920D1F" w:rsidRDefault="00920D1F" w:rsidP="00920D1F">
      <w:pPr>
        <w:pStyle w:val="NormalWeb"/>
        <w:rPr>
          <w:rFonts w:ascii="Arial" w:hAnsi="Arial" w:cs="Arial"/>
        </w:rPr>
      </w:pPr>
      <w:r w:rsidRPr="00920D1F">
        <w:rPr>
          <w:rFonts w:ascii="Arial" w:hAnsi="Arial" w:cs="Arial"/>
        </w:rPr>
        <w:t xml:space="preserve">Compared to 2024, Hertsmere Borough Council has continued to make </w:t>
      </w:r>
      <w:r w:rsidRPr="00920D1F">
        <w:rPr>
          <w:rStyle w:val="Strong"/>
          <w:rFonts w:ascii="Arial" w:hAnsi="Arial" w:cs="Arial"/>
          <w:b w:val="0"/>
        </w:rPr>
        <w:t>progress in reducing its gender pay gap</w:t>
      </w:r>
      <w:r w:rsidRPr="00920D1F">
        <w:rPr>
          <w:rFonts w:ascii="Arial" w:hAnsi="Arial" w:cs="Arial"/>
        </w:rPr>
        <w:t xml:space="preserve">. In 2025, both the mean and median gaps are marginally in favour of females. More importantly, this reflects a </w:t>
      </w:r>
      <w:r w:rsidRPr="00920D1F">
        <w:rPr>
          <w:rStyle w:val="Strong"/>
          <w:rFonts w:ascii="Arial" w:hAnsi="Arial" w:cs="Arial"/>
          <w:b w:val="0"/>
        </w:rPr>
        <w:t>move towards pay parity</w:t>
      </w:r>
      <w:r w:rsidRPr="00920D1F">
        <w:rPr>
          <w:rFonts w:ascii="Arial" w:hAnsi="Arial" w:cs="Arial"/>
        </w:rPr>
        <w:t>, the national benchmark for gender equality in pay.</w:t>
      </w:r>
    </w:p>
    <w:p w:rsidR="00920D1F" w:rsidRPr="000F149E" w:rsidRDefault="00920D1F" w:rsidP="00920D1F">
      <w:pPr>
        <w:pStyle w:val="NormalWeb"/>
        <w:rPr>
          <w:rFonts w:ascii="Arial" w:hAnsi="Arial" w:cs="Arial"/>
        </w:rPr>
      </w:pPr>
      <w:r w:rsidRPr="00920D1F">
        <w:rPr>
          <w:rFonts w:ascii="Arial" w:hAnsi="Arial" w:cs="Arial"/>
        </w:rPr>
        <w:t xml:space="preserve">The Council’s position remains strong compared to national averages, where pay gaps generally still favour men. Policies such as structured job evaluation, regular </w:t>
      </w:r>
      <w:r w:rsidRPr="000F149E">
        <w:rPr>
          <w:rFonts w:ascii="Arial" w:hAnsi="Arial" w:cs="Arial"/>
        </w:rPr>
        <w:t>equal pay audits, flexible working arrangements, and family-friendly practices have contributed to this outcome.</w:t>
      </w:r>
    </w:p>
    <w:p w:rsidR="000F149E" w:rsidRPr="000F149E" w:rsidRDefault="000F149E" w:rsidP="000F149E">
      <w:pPr>
        <w:pStyle w:val="NormalWeb"/>
        <w:rPr>
          <w:rFonts w:ascii="Arial" w:hAnsi="Arial" w:cs="Arial"/>
        </w:rPr>
      </w:pPr>
      <w:r w:rsidRPr="000F149E">
        <w:rPr>
          <w:rFonts w:ascii="Arial" w:hAnsi="Arial" w:cs="Arial"/>
        </w:rPr>
        <w:t xml:space="preserve">While a gap in bonus pay remains, it has narrowed substantially compared to previous years and is largely attributable to targeted retention payments within male-dominated service areas. At the median level, bonus payments </w:t>
      </w:r>
      <w:r>
        <w:rPr>
          <w:rFonts w:ascii="Arial" w:hAnsi="Arial" w:cs="Arial"/>
        </w:rPr>
        <w:t>in 2025 are</w:t>
      </w:r>
      <w:r w:rsidRPr="000F149E">
        <w:rPr>
          <w:rFonts w:ascii="Arial" w:hAnsi="Arial" w:cs="Arial"/>
        </w:rPr>
        <w:t xml:space="preserve"> equal between men and women.</w:t>
      </w:r>
    </w:p>
    <w:p w:rsidR="000F149E" w:rsidRPr="000F149E" w:rsidRDefault="000F149E" w:rsidP="000F149E">
      <w:pPr>
        <w:pStyle w:val="NormalWeb"/>
        <w:rPr>
          <w:rFonts w:ascii="Arial" w:hAnsi="Arial" w:cs="Arial"/>
        </w:rPr>
      </w:pPr>
      <w:r w:rsidRPr="000F149E">
        <w:rPr>
          <w:rFonts w:ascii="Arial" w:hAnsi="Arial" w:cs="Arial"/>
        </w:rPr>
        <w:t>Analysis of pay quartiles shows that women are well represented across the middle and upper pay bands, with further opportunities to support progression into the most senior roles through leadership and development initiatives.</w:t>
      </w:r>
    </w:p>
    <w:p w:rsidR="00920D1F" w:rsidRPr="00920D1F" w:rsidRDefault="00920D1F" w:rsidP="00920D1F">
      <w:pPr>
        <w:pStyle w:val="NormalWeb"/>
        <w:rPr>
          <w:rFonts w:ascii="Arial" w:hAnsi="Arial" w:cs="Arial"/>
        </w:rPr>
      </w:pPr>
      <w:r w:rsidRPr="00920D1F">
        <w:rPr>
          <w:rFonts w:ascii="Arial" w:hAnsi="Arial" w:cs="Arial"/>
        </w:rPr>
        <w:t xml:space="preserve">Hertsmere Borough Council remains committed to </w:t>
      </w:r>
      <w:r w:rsidRPr="000F149E">
        <w:rPr>
          <w:rStyle w:val="Strong"/>
          <w:rFonts w:ascii="Arial" w:hAnsi="Arial" w:cs="Arial"/>
          <w:b w:val="0"/>
        </w:rPr>
        <w:t>pay parity</w:t>
      </w:r>
      <w:r w:rsidRPr="00920D1F">
        <w:rPr>
          <w:rFonts w:ascii="Arial" w:hAnsi="Arial" w:cs="Arial"/>
        </w:rPr>
        <w:t xml:space="preserve"> across its workforce and will continue to monitor, review, and take action where necessary to maintain and enhance gender equality in pay.</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Declaration</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i/>
          <w:iCs/>
          <w:sz w:val="24"/>
          <w:szCs w:val="24"/>
          <w:lang w:eastAsia="en-GB"/>
        </w:rPr>
        <w:t>We confirm that the data provided is accurate and has been prepared in accordance with the Equality Act 2010 (Gender Pay Gap Information) Regulations 2017.</w:t>
      </w:r>
    </w:p>
    <w:p w:rsidR="00DE1FAD" w:rsidRDefault="00211A30">
      <w:pPr>
        <w:rPr>
          <w:rFonts w:ascii="Arial" w:hAnsi="Arial" w:cs="Arial"/>
          <w:sz w:val="24"/>
          <w:szCs w:val="24"/>
        </w:rPr>
      </w:pPr>
      <w:r w:rsidRPr="00D35BE3">
        <w:rPr>
          <w:rFonts w:ascii="Arial" w:hAnsi="Arial" w:cs="Arial"/>
          <w:noProof/>
          <w:sz w:val="24"/>
          <w:szCs w:val="24"/>
          <w:lang w:eastAsia="en-GB"/>
        </w:rPr>
        <w:drawing>
          <wp:inline distT="0" distB="0" distL="0" distR="0" wp14:anchorId="7823E3CB" wp14:editId="13E6CE92">
            <wp:extent cx="1510665" cy="38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0751" cy="387372"/>
                    </a:xfrm>
                    <a:prstGeom prst="rect">
                      <a:avLst/>
                    </a:prstGeom>
                  </pic:spPr>
                </pic:pic>
              </a:graphicData>
            </a:graphic>
          </wp:inline>
        </w:drawing>
      </w:r>
    </w:p>
    <w:p w:rsidR="00211A30" w:rsidRPr="00211A30" w:rsidRDefault="00211A30" w:rsidP="00211A30">
      <w:pPr>
        <w:spacing w:after="0" w:line="240" w:lineRule="auto"/>
        <w:rPr>
          <w:rFonts w:ascii="Arial" w:hAnsi="Arial" w:cs="Arial"/>
          <w:sz w:val="24"/>
          <w:szCs w:val="24"/>
        </w:rPr>
      </w:pPr>
      <w:r w:rsidRPr="00211A30">
        <w:rPr>
          <w:rFonts w:ascii="Arial" w:hAnsi="Arial" w:cs="Arial"/>
          <w:sz w:val="24"/>
          <w:szCs w:val="24"/>
        </w:rPr>
        <w:t>Clare Noble</w:t>
      </w:r>
    </w:p>
    <w:p w:rsidR="00211A30" w:rsidRPr="00211A30" w:rsidRDefault="00211A30" w:rsidP="00211A30">
      <w:pPr>
        <w:spacing w:after="0" w:line="240" w:lineRule="auto"/>
        <w:rPr>
          <w:rFonts w:ascii="Arial" w:hAnsi="Arial" w:cs="Arial"/>
          <w:sz w:val="24"/>
          <w:szCs w:val="24"/>
        </w:rPr>
      </w:pPr>
      <w:r w:rsidRPr="00211A30">
        <w:rPr>
          <w:rFonts w:ascii="Arial" w:hAnsi="Arial" w:cs="Arial"/>
          <w:sz w:val="24"/>
          <w:szCs w:val="24"/>
        </w:rPr>
        <w:t>Head of Human Resources</w:t>
      </w:r>
    </w:p>
    <w:p w:rsidR="00211A30" w:rsidRPr="00211A30" w:rsidRDefault="00211A30">
      <w:pPr>
        <w:rPr>
          <w:rFonts w:ascii="Arial" w:hAnsi="Arial" w:cs="Arial"/>
          <w:sz w:val="24"/>
          <w:szCs w:val="24"/>
        </w:rPr>
      </w:pPr>
    </w:p>
    <w:sectPr w:rsidR="00211A30" w:rsidRPr="00211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ABB"/>
    <w:multiLevelType w:val="multilevel"/>
    <w:tmpl w:val="10C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716A0"/>
    <w:multiLevelType w:val="multilevel"/>
    <w:tmpl w:val="4B0C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35CC0"/>
    <w:multiLevelType w:val="multilevel"/>
    <w:tmpl w:val="EAD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6546A"/>
    <w:multiLevelType w:val="multilevel"/>
    <w:tmpl w:val="436E6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9F"/>
    <w:rsid w:val="000F149E"/>
    <w:rsid w:val="00133F5D"/>
    <w:rsid w:val="00211A30"/>
    <w:rsid w:val="003524E0"/>
    <w:rsid w:val="00376077"/>
    <w:rsid w:val="005D5AD6"/>
    <w:rsid w:val="007114D8"/>
    <w:rsid w:val="00920D1F"/>
    <w:rsid w:val="00B857C9"/>
    <w:rsid w:val="00C65049"/>
    <w:rsid w:val="00E2529F"/>
    <w:rsid w:val="00FE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617B2-6E29-4685-95C4-B4AAF055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D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0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7421">
      <w:bodyDiv w:val="1"/>
      <w:marLeft w:val="0"/>
      <w:marRight w:val="0"/>
      <w:marTop w:val="0"/>
      <w:marBottom w:val="0"/>
      <w:divBdr>
        <w:top w:val="none" w:sz="0" w:space="0" w:color="auto"/>
        <w:left w:val="none" w:sz="0" w:space="0" w:color="auto"/>
        <w:bottom w:val="none" w:sz="0" w:space="0" w:color="auto"/>
        <w:right w:val="none" w:sz="0" w:space="0" w:color="auto"/>
      </w:divBdr>
    </w:div>
    <w:div w:id="2041085131">
      <w:bodyDiv w:val="1"/>
      <w:marLeft w:val="0"/>
      <w:marRight w:val="0"/>
      <w:marTop w:val="0"/>
      <w:marBottom w:val="0"/>
      <w:divBdr>
        <w:top w:val="none" w:sz="0" w:space="0" w:color="auto"/>
        <w:left w:val="none" w:sz="0" w:space="0" w:color="auto"/>
        <w:bottom w:val="none" w:sz="0" w:space="0" w:color="auto"/>
        <w:right w:val="none" w:sz="0" w:space="0" w:color="auto"/>
      </w:divBdr>
    </w:div>
    <w:div w:id="2048293996">
      <w:bodyDiv w:val="1"/>
      <w:marLeft w:val="0"/>
      <w:marRight w:val="0"/>
      <w:marTop w:val="0"/>
      <w:marBottom w:val="0"/>
      <w:divBdr>
        <w:top w:val="none" w:sz="0" w:space="0" w:color="auto"/>
        <w:left w:val="none" w:sz="0" w:space="0" w:color="auto"/>
        <w:bottom w:val="none" w:sz="0" w:space="0" w:color="auto"/>
        <w:right w:val="none" w:sz="0" w:space="0" w:color="auto"/>
      </w:divBdr>
      <w:divsChild>
        <w:div w:id="1736203961">
          <w:marLeft w:val="0"/>
          <w:marRight w:val="0"/>
          <w:marTop w:val="0"/>
          <w:marBottom w:val="0"/>
          <w:divBdr>
            <w:top w:val="none" w:sz="0" w:space="0" w:color="auto"/>
            <w:left w:val="none" w:sz="0" w:space="0" w:color="auto"/>
            <w:bottom w:val="none" w:sz="0" w:space="0" w:color="auto"/>
            <w:right w:val="none" w:sz="0" w:space="0" w:color="auto"/>
          </w:divBdr>
          <w:divsChild>
            <w:div w:id="6251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Noble</dc:creator>
  <cp:keywords/>
  <dc:description/>
  <cp:lastModifiedBy>Clare Noble</cp:lastModifiedBy>
  <cp:revision>2</cp:revision>
  <dcterms:created xsi:type="dcterms:W3CDTF">2026-01-13T18:21:00Z</dcterms:created>
  <dcterms:modified xsi:type="dcterms:W3CDTF">2026-01-13T18:21:00Z</dcterms:modified>
</cp:coreProperties>
</file>