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9BF8A" w14:textId="77777777" w:rsidR="00E3289C" w:rsidRPr="006E4332" w:rsidRDefault="00E3289C" w:rsidP="00E3289C">
      <w:pPr>
        <w:widowControl w:val="0"/>
        <w:tabs>
          <w:tab w:val="left" w:pos="0"/>
        </w:tabs>
        <w:rPr>
          <w:rFonts w:ascii="Arial" w:hAnsi="Arial" w:cs="Arial"/>
          <w:b/>
          <w:u w:val="single"/>
        </w:rPr>
      </w:pPr>
      <w:r w:rsidRPr="006E4332">
        <w:rPr>
          <w:rFonts w:ascii="Arial" w:hAnsi="Arial" w:cs="Arial"/>
          <w:b/>
          <w:u w:val="single"/>
        </w:rPr>
        <w:t>Treasury Management Strategy for 202</w:t>
      </w:r>
      <w:r>
        <w:rPr>
          <w:rFonts w:ascii="Arial" w:hAnsi="Arial" w:cs="Arial"/>
          <w:b/>
          <w:u w:val="single"/>
        </w:rPr>
        <w:t>6</w:t>
      </w:r>
      <w:r w:rsidRPr="006E4332">
        <w:rPr>
          <w:rFonts w:ascii="Arial" w:hAnsi="Arial" w:cs="Arial"/>
          <w:b/>
          <w:u w:val="single"/>
        </w:rPr>
        <w:t>/2</w:t>
      </w:r>
      <w:r>
        <w:rPr>
          <w:rFonts w:ascii="Arial" w:hAnsi="Arial" w:cs="Arial"/>
          <w:b/>
          <w:u w:val="single"/>
        </w:rPr>
        <w:t>7</w:t>
      </w:r>
    </w:p>
    <w:p w14:paraId="7275F948" w14:textId="77777777" w:rsidR="00E3289C" w:rsidRPr="006E4332" w:rsidRDefault="00E3289C" w:rsidP="00E3289C">
      <w:pPr>
        <w:widowControl w:val="0"/>
        <w:tabs>
          <w:tab w:val="left" w:pos="0"/>
        </w:tabs>
        <w:rPr>
          <w:rFonts w:ascii="Arial" w:hAnsi="Arial" w:cs="Arial"/>
          <w:b/>
          <w:u w:val="single"/>
        </w:rPr>
      </w:pPr>
    </w:p>
    <w:p w14:paraId="32E92B94" w14:textId="77777777" w:rsidR="00E3289C" w:rsidRPr="006E4332" w:rsidRDefault="00E3289C" w:rsidP="00E3289C">
      <w:pPr>
        <w:widowControl w:val="0"/>
        <w:tabs>
          <w:tab w:val="left" w:pos="0"/>
        </w:tabs>
        <w:rPr>
          <w:rFonts w:ascii="Arial" w:hAnsi="Arial" w:cs="Arial"/>
          <w:b/>
          <w:u w:val="single"/>
        </w:rPr>
      </w:pPr>
      <w:r w:rsidRPr="006E4332">
        <w:rPr>
          <w:rFonts w:ascii="Arial" w:hAnsi="Arial" w:cs="Arial"/>
          <w:b/>
          <w:u w:val="single"/>
        </w:rPr>
        <w:t>Contents</w:t>
      </w:r>
    </w:p>
    <w:p w14:paraId="3639A050" w14:textId="77777777" w:rsidR="00E3289C" w:rsidRPr="006E4332" w:rsidRDefault="00E3289C" w:rsidP="00E3289C">
      <w:pPr>
        <w:widowControl w:val="0"/>
        <w:tabs>
          <w:tab w:val="left" w:pos="0"/>
        </w:tabs>
        <w:ind w:left="360"/>
        <w:rPr>
          <w:rFonts w:ascii="Arial" w:hAnsi="Arial" w:cs="Arial"/>
          <w:b/>
        </w:rPr>
      </w:pPr>
    </w:p>
    <w:p w14:paraId="5BC7E4D8" w14:textId="77777777" w:rsidR="00E3289C" w:rsidRPr="006E4332" w:rsidRDefault="00E3289C" w:rsidP="00E3289C">
      <w:pPr>
        <w:widowControl w:val="0"/>
        <w:tabs>
          <w:tab w:val="left" w:pos="0"/>
        </w:tabs>
        <w:rPr>
          <w:u w:val="single"/>
        </w:rPr>
      </w:pPr>
      <w:r w:rsidRPr="006E4332">
        <w:rPr>
          <w:rFonts w:ascii="Arial" w:hAnsi="Arial" w:cs="Arial"/>
        </w:rPr>
        <w:t>The strategy for 202</w:t>
      </w:r>
      <w:r>
        <w:rPr>
          <w:rFonts w:ascii="Arial" w:hAnsi="Arial" w:cs="Arial"/>
        </w:rPr>
        <w:t>6</w:t>
      </w:r>
      <w:r w:rsidRPr="006E4332">
        <w:rPr>
          <w:rFonts w:ascii="Arial" w:hAnsi="Arial" w:cs="Arial"/>
        </w:rPr>
        <w:t>/2</w:t>
      </w:r>
      <w:r>
        <w:rPr>
          <w:rFonts w:ascii="Arial" w:hAnsi="Arial" w:cs="Arial"/>
        </w:rPr>
        <w:t>7</w:t>
      </w:r>
      <w:r w:rsidRPr="006E4332">
        <w:rPr>
          <w:rFonts w:ascii="Arial" w:hAnsi="Arial" w:cs="Arial"/>
        </w:rPr>
        <w:t xml:space="preserve"> covers:</w:t>
      </w:r>
    </w:p>
    <w:p w14:paraId="1EA30CC2" w14:textId="77777777" w:rsidR="00E3289C" w:rsidRPr="006E4332" w:rsidRDefault="00E3289C" w:rsidP="00E3289C">
      <w:pPr>
        <w:pStyle w:val="BodyText"/>
        <w:widowControl w:val="0"/>
        <w:rPr>
          <w:b/>
        </w:rPr>
      </w:pPr>
    </w:p>
    <w:p w14:paraId="702D4398" w14:textId="77777777" w:rsidR="00E3289C" w:rsidRPr="006E4332" w:rsidRDefault="00E3289C" w:rsidP="00D60EFC">
      <w:pPr>
        <w:pStyle w:val="BodyText"/>
        <w:widowControl w:val="0"/>
        <w:numPr>
          <w:ilvl w:val="0"/>
          <w:numId w:val="10"/>
        </w:numPr>
        <w:rPr>
          <w:b/>
        </w:rPr>
      </w:pPr>
      <w:r w:rsidRPr="006E4332">
        <w:rPr>
          <w:b/>
        </w:rPr>
        <w:t>Introduction</w:t>
      </w:r>
    </w:p>
    <w:p w14:paraId="13870540" w14:textId="77777777" w:rsidR="00E3289C" w:rsidRPr="006E4332" w:rsidRDefault="00E3289C" w:rsidP="00E3289C">
      <w:pPr>
        <w:pStyle w:val="BodyText"/>
        <w:widowControl w:val="0"/>
        <w:ind w:left="720"/>
        <w:rPr>
          <w:b/>
        </w:rPr>
      </w:pPr>
    </w:p>
    <w:p w14:paraId="3DE1126F" w14:textId="77777777" w:rsidR="00E3289C" w:rsidRDefault="00E3289C" w:rsidP="00D60EFC">
      <w:pPr>
        <w:pStyle w:val="BodyText"/>
        <w:widowControl w:val="0"/>
        <w:numPr>
          <w:ilvl w:val="0"/>
          <w:numId w:val="10"/>
        </w:numPr>
        <w:rPr>
          <w:b/>
        </w:rPr>
      </w:pPr>
      <w:r w:rsidRPr="006E4332">
        <w:rPr>
          <w:b/>
        </w:rPr>
        <w:t>Background</w:t>
      </w:r>
    </w:p>
    <w:p w14:paraId="7E8D1046" w14:textId="77777777" w:rsidR="00E3289C" w:rsidRDefault="00E3289C" w:rsidP="00E3289C">
      <w:pPr>
        <w:pStyle w:val="ListParagraph"/>
        <w:rPr>
          <w:b/>
        </w:rPr>
      </w:pPr>
    </w:p>
    <w:p w14:paraId="04B6597A" w14:textId="77777777" w:rsidR="00E3289C" w:rsidRDefault="00E3289C" w:rsidP="00D60EFC">
      <w:pPr>
        <w:pStyle w:val="BodyText"/>
        <w:widowControl w:val="0"/>
        <w:numPr>
          <w:ilvl w:val="0"/>
          <w:numId w:val="10"/>
        </w:numPr>
        <w:rPr>
          <w:b/>
        </w:rPr>
      </w:pPr>
      <w:r>
        <w:rPr>
          <w:b/>
        </w:rPr>
        <w:t>Reporting Requirements</w:t>
      </w:r>
    </w:p>
    <w:p w14:paraId="62933D2A" w14:textId="77777777" w:rsidR="00E3289C" w:rsidRDefault="00E3289C" w:rsidP="00E3289C">
      <w:pPr>
        <w:pStyle w:val="ListParagraph"/>
        <w:rPr>
          <w:b/>
        </w:rPr>
      </w:pPr>
    </w:p>
    <w:p w14:paraId="459E55AA" w14:textId="77777777" w:rsidR="00E3289C" w:rsidRDefault="00E3289C" w:rsidP="00D60EFC">
      <w:pPr>
        <w:pStyle w:val="BodyText"/>
        <w:widowControl w:val="0"/>
        <w:numPr>
          <w:ilvl w:val="0"/>
          <w:numId w:val="10"/>
        </w:numPr>
        <w:rPr>
          <w:b/>
        </w:rPr>
      </w:pPr>
      <w:r>
        <w:rPr>
          <w:b/>
        </w:rPr>
        <w:t>Training</w:t>
      </w:r>
    </w:p>
    <w:p w14:paraId="664939B1" w14:textId="77777777" w:rsidR="00E3289C" w:rsidRDefault="00E3289C" w:rsidP="00E3289C">
      <w:pPr>
        <w:pStyle w:val="ListParagraph"/>
        <w:rPr>
          <w:b/>
        </w:rPr>
      </w:pPr>
    </w:p>
    <w:p w14:paraId="22371A76" w14:textId="77777777" w:rsidR="00E3289C" w:rsidRPr="00956287" w:rsidRDefault="00E3289C" w:rsidP="00D60EFC">
      <w:pPr>
        <w:pStyle w:val="BodyText"/>
        <w:widowControl w:val="0"/>
        <w:numPr>
          <w:ilvl w:val="0"/>
          <w:numId w:val="10"/>
        </w:numPr>
        <w:rPr>
          <w:b/>
        </w:rPr>
      </w:pPr>
      <w:r>
        <w:rPr>
          <w:b/>
        </w:rPr>
        <w:t>Treasury Management Advisors</w:t>
      </w:r>
    </w:p>
    <w:p w14:paraId="36FEEE92" w14:textId="77777777" w:rsidR="00E3289C" w:rsidRPr="006E4332" w:rsidRDefault="00E3289C" w:rsidP="00E3289C">
      <w:pPr>
        <w:pStyle w:val="BodyText"/>
        <w:widowControl w:val="0"/>
      </w:pPr>
    </w:p>
    <w:p w14:paraId="6D131860" w14:textId="77777777" w:rsidR="00E3289C" w:rsidRPr="006E4332" w:rsidRDefault="00E3289C" w:rsidP="00D60EFC">
      <w:pPr>
        <w:pStyle w:val="BodyText"/>
        <w:widowControl w:val="0"/>
        <w:numPr>
          <w:ilvl w:val="0"/>
          <w:numId w:val="10"/>
        </w:numPr>
        <w:rPr>
          <w:b/>
        </w:rPr>
      </w:pPr>
      <w:r w:rsidRPr="006E4332">
        <w:rPr>
          <w:b/>
        </w:rPr>
        <w:t>Prudential Indicators 202</w:t>
      </w:r>
      <w:r>
        <w:rPr>
          <w:b/>
        </w:rPr>
        <w:t>5</w:t>
      </w:r>
      <w:r w:rsidRPr="006E4332">
        <w:rPr>
          <w:b/>
        </w:rPr>
        <w:t>/2</w:t>
      </w:r>
      <w:r>
        <w:rPr>
          <w:b/>
        </w:rPr>
        <w:t>6</w:t>
      </w:r>
      <w:r w:rsidRPr="006E4332">
        <w:rPr>
          <w:b/>
        </w:rPr>
        <w:t xml:space="preserve"> – 202</w:t>
      </w:r>
      <w:r>
        <w:rPr>
          <w:b/>
        </w:rPr>
        <w:t>8</w:t>
      </w:r>
      <w:r w:rsidRPr="006E4332">
        <w:rPr>
          <w:b/>
        </w:rPr>
        <w:t>/2</w:t>
      </w:r>
      <w:r>
        <w:rPr>
          <w:b/>
        </w:rPr>
        <w:t>9</w:t>
      </w:r>
    </w:p>
    <w:p w14:paraId="109B03B4" w14:textId="77777777" w:rsidR="00E3289C" w:rsidRPr="006E4332" w:rsidRDefault="00E3289C" w:rsidP="00E3289C">
      <w:pPr>
        <w:pStyle w:val="BodyText"/>
        <w:widowControl w:val="0"/>
        <w:rPr>
          <w:b/>
        </w:rPr>
      </w:pPr>
      <w:r w:rsidRPr="006E4332">
        <w:rPr>
          <w:b/>
        </w:rPr>
        <w:tab/>
      </w:r>
    </w:p>
    <w:p w14:paraId="25E9C85D" w14:textId="77777777" w:rsidR="00E3289C" w:rsidRPr="006E4332" w:rsidRDefault="00E3289C" w:rsidP="00E3289C">
      <w:pPr>
        <w:pStyle w:val="BodyText"/>
        <w:widowControl w:val="0"/>
        <w:ind w:firstLine="720"/>
        <w:rPr>
          <w:b/>
        </w:rPr>
      </w:pPr>
      <w:r w:rsidRPr="006E4332">
        <w:t xml:space="preserve">Capital Expenditure Plans </w:t>
      </w:r>
    </w:p>
    <w:p w14:paraId="14B86590" w14:textId="77777777" w:rsidR="00E3289C" w:rsidRDefault="00E3289C" w:rsidP="00E3289C">
      <w:pPr>
        <w:pStyle w:val="BodyText"/>
        <w:widowControl w:val="0"/>
        <w:ind w:firstLine="720"/>
      </w:pPr>
      <w:r w:rsidRPr="006E4332">
        <w:t>Capital Financing Requirement (CFR)</w:t>
      </w:r>
    </w:p>
    <w:p w14:paraId="011D0D9F" w14:textId="77777777" w:rsidR="00E3289C" w:rsidRPr="006E4332" w:rsidRDefault="00E3289C" w:rsidP="00E3289C">
      <w:pPr>
        <w:pStyle w:val="BodyText"/>
        <w:widowControl w:val="0"/>
        <w:ind w:firstLine="720"/>
      </w:pPr>
      <w:r w:rsidRPr="006E4332">
        <w:t>Investment Balances</w:t>
      </w:r>
    </w:p>
    <w:p w14:paraId="52A04B1A" w14:textId="77777777" w:rsidR="00E3289C" w:rsidRPr="006E4332" w:rsidRDefault="00E3289C" w:rsidP="00E3289C">
      <w:pPr>
        <w:pStyle w:val="BodyText"/>
        <w:widowControl w:val="0"/>
        <w:ind w:firstLine="720"/>
      </w:pPr>
      <w:r w:rsidRPr="006E4332">
        <w:t>Minimum revenue provision (MRP) Policy Statement</w:t>
      </w:r>
    </w:p>
    <w:p w14:paraId="6A6E0314" w14:textId="77777777" w:rsidR="00E3289C" w:rsidRPr="006E4332" w:rsidRDefault="00E3289C" w:rsidP="00E3289C">
      <w:pPr>
        <w:pStyle w:val="BodyText"/>
        <w:widowControl w:val="0"/>
        <w:ind w:firstLine="720"/>
      </w:pPr>
      <w:r w:rsidRPr="006E4332">
        <w:t>Capital affordability indicators</w:t>
      </w:r>
    </w:p>
    <w:p w14:paraId="19790B62" w14:textId="77777777" w:rsidR="00E3289C" w:rsidRPr="006E4332" w:rsidRDefault="00E3289C" w:rsidP="00E3289C">
      <w:pPr>
        <w:pStyle w:val="BodyText"/>
        <w:widowControl w:val="0"/>
        <w:ind w:firstLine="720"/>
      </w:pPr>
      <w:r w:rsidRPr="006E4332">
        <w:t>Borrowing Requirements</w:t>
      </w:r>
    </w:p>
    <w:p w14:paraId="53B65E68" w14:textId="77777777" w:rsidR="00E3289C" w:rsidRPr="006E4332" w:rsidRDefault="00E3289C" w:rsidP="00E3289C">
      <w:pPr>
        <w:pStyle w:val="BodyText"/>
        <w:widowControl w:val="0"/>
        <w:ind w:firstLine="720"/>
      </w:pPr>
      <w:r w:rsidRPr="006E4332">
        <w:t xml:space="preserve">Borrowing – Current position, Operational Boundary, </w:t>
      </w:r>
      <w:proofErr w:type="spellStart"/>
      <w:r w:rsidRPr="006E4332">
        <w:t>Authorised</w:t>
      </w:r>
      <w:proofErr w:type="spellEnd"/>
      <w:r w:rsidRPr="006E4332">
        <w:t xml:space="preserve"> Limit</w:t>
      </w:r>
    </w:p>
    <w:p w14:paraId="16509147" w14:textId="77777777" w:rsidR="00E3289C" w:rsidRPr="006E4332" w:rsidRDefault="00E3289C" w:rsidP="00E3289C">
      <w:pPr>
        <w:pStyle w:val="BodyText"/>
        <w:widowControl w:val="0"/>
        <w:ind w:firstLine="720"/>
      </w:pPr>
      <w:r w:rsidRPr="006E4332">
        <w:t>Treasury Limits</w:t>
      </w:r>
    </w:p>
    <w:p w14:paraId="2BE20DF0" w14:textId="77777777" w:rsidR="00E3289C" w:rsidRPr="006E4332" w:rsidRDefault="00E3289C" w:rsidP="00E3289C">
      <w:pPr>
        <w:pStyle w:val="BodyText"/>
        <w:widowControl w:val="0"/>
        <w:ind w:firstLine="720"/>
      </w:pPr>
      <w:r w:rsidRPr="006E4332">
        <w:t>Interest rate projections</w:t>
      </w:r>
    </w:p>
    <w:p w14:paraId="1A3D6C0F" w14:textId="77777777" w:rsidR="00E3289C" w:rsidRPr="006E4332" w:rsidRDefault="00E3289C" w:rsidP="00E3289C">
      <w:pPr>
        <w:pStyle w:val="BodyText"/>
        <w:widowControl w:val="0"/>
        <w:ind w:firstLine="720"/>
      </w:pPr>
      <w:r w:rsidRPr="006E4332">
        <w:t>Policy on borrowing in advance of need</w:t>
      </w:r>
    </w:p>
    <w:p w14:paraId="416733F2" w14:textId="77777777" w:rsidR="00E3289C" w:rsidRPr="006E4332" w:rsidRDefault="00E3289C" w:rsidP="00E3289C">
      <w:pPr>
        <w:pStyle w:val="BodyText"/>
        <w:widowControl w:val="0"/>
        <w:rPr>
          <w:szCs w:val="24"/>
          <w:u w:val="single"/>
          <w:lang w:val="en-GB"/>
        </w:rPr>
      </w:pPr>
    </w:p>
    <w:p w14:paraId="2F40A31B" w14:textId="77777777" w:rsidR="00E3289C" w:rsidRPr="006E4332" w:rsidRDefault="00E3289C" w:rsidP="00D60EFC">
      <w:pPr>
        <w:pStyle w:val="BodyText"/>
        <w:widowControl w:val="0"/>
        <w:numPr>
          <w:ilvl w:val="0"/>
          <w:numId w:val="10"/>
        </w:numPr>
        <w:rPr>
          <w:b/>
        </w:rPr>
      </w:pPr>
      <w:r w:rsidRPr="006E4332">
        <w:rPr>
          <w:b/>
        </w:rPr>
        <w:t xml:space="preserve">Current portfolio </w:t>
      </w:r>
      <w:proofErr w:type="spellStart"/>
      <w:r w:rsidRPr="006E4332">
        <w:rPr>
          <w:b/>
        </w:rPr>
        <w:t>positon</w:t>
      </w:r>
      <w:proofErr w:type="spellEnd"/>
      <w:r w:rsidRPr="006E4332">
        <w:rPr>
          <w:b/>
        </w:rPr>
        <w:t xml:space="preserve"> </w:t>
      </w:r>
    </w:p>
    <w:p w14:paraId="5DBE14A1" w14:textId="77777777" w:rsidR="00E3289C" w:rsidRPr="006E4332" w:rsidRDefault="00E3289C" w:rsidP="00E3289C">
      <w:pPr>
        <w:pStyle w:val="BodyText"/>
        <w:widowControl w:val="0"/>
        <w:rPr>
          <w:szCs w:val="24"/>
          <w:u w:val="single"/>
          <w:lang w:val="en-GB"/>
        </w:rPr>
      </w:pPr>
    </w:p>
    <w:p w14:paraId="602A4BD0" w14:textId="77777777" w:rsidR="00E3289C" w:rsidRPr="006E4332" w:rsidRDefault="00E3289C" w:rsidP="00D60EFC">
      <w:pPr>
        <w:pStyle w:val="BodyText"/>
        <w:widowControl w:val="0"/>
        <w:numPr>
          <w:ilvl w:val="0"/>
          <w:numId w:val="10"/>
        </w:numPr>
        <w:rPr>
          <w:b/>
          <w:szCs w:val="24"/>
          <w:lang w:val="en-GB"/>
        </w:rPr>
      </w:pPr>
      <w:r w:rsidRPr="006E4332">
        <w:rPr>
          <w:b/>
          <w:szCs w:val="24"/>
          <w:lang w:val="en-GB"/>
        </w:rPr>
        <w:t>Annual Investment Strategy</w:t>
      </w:r>
    </w:p>
    <w:p w14:paraId="51AB56E8" w14:textId="77777777" w:rsidR="00E3289C" w:rsidRPr="006E4332" w:rsidRDefault="00E3289C" w:rsidP="00E3289C">
      <w:pPr>
        <w:pStyle w:val="BodyText"/>
        <w:widowControl w:val="0"/>
        <w:ind w:firstLine="720"/>
        <w:rPr>
          <w:szCs w:val="24"/>
          <w:u w:val="single"/>
          <w:lang w:val="en-GB"/>
        </w:rPr>
      </w:pPr>
    </w:p>
    <w:p w14:paraId="3531F526" w14:textId="77777777" w:rsidR="00E3289C" w:rsidRPr="006E4332" w:rsidRDefault="00E3289C" w:rsidP="00E3289C">
      <w:pPr>
        <w:pStyle w:val="BodyText"/>
        <w:widowControl w:val="0"/>
        <w:ind w:firstLine="720"/>
      </w:pPr>
      <w:r w:rsidRPr="006E4332">
        <w:t>Investment Policy</w:t>
      </w:r>
    </w:p>
    <w:p w14:paraId="589677BD" w14:textId="77777777" w:rsidR="00E3289C" w:rsidRPr="006E4332" w:rsidRDefault="00E3289C" w:rsidP="00E3289C">
      <w:pPr>
        <w:pStyle w:val="BodyText"/>
        <w:widowControl w:val="0"/>
        <w:ind w:firstLine="720"/>
      </w:pPr>
      <w:r w:rsidRPr="006E4332">
        <w:t>Types of investments</w:t>
      </w:r>
    </w:p>
    <w:p w14:paraId="1F7C6BB3" w14:textId="77777777" w:rsidR="00E3289C" w:rsidRPr="006E4332" w:rsidRDefault="00E3289C" w:rsidP="00E3289C">
      <w:pPr>
        <w:pStyle w:val="BodyText"/>
        <w:widowControl w:val="0"/>
        <w:ind w:firstLine="720"/>
      </w:pPr>
      <w:r w:rsidRPr="006E4332">
        <w:t>Prospects for interest rates</w:t>
      </w:r>
      <w:r w:rsidRPr="006E4332">
        <w:tab/>
      </w:r>
    </w:p>
    <w:p w14:paraId="033C63EF" w14:textId="77777777" w:rsidR="00E3289C" w:rsidRPr="006E4332" w:rsidRDefault="00E3289C" w:rsidP="00E3289C">
      <w:pPr>
        <w:pStyle w:val="BodyText"/>
        <w:widowControl w:val="0"/>
        <w:ind w:firstLine="720"/>
      </w:pPr>
      <w:r w:rsidRPr="006E4332">
        <w:t>Creditworthiness Policy</w:t>
      </w:r>
    </w:p>
    <w:p w14:paraId="3ED27A40" w14:textId="77777777" w:rsidR="00E3289C" w:rsidRPr="006E4332" w:rsidRDefault="00E3289C" w:rsidP="00E3289C">
      <w:pPr>
        <w:pStyle w:val="BodyText"/>
        <w:widowControl w:val="0"/>
        <w:ind w:firstLine="720"/>
      </w:pPr>
      <w:r w:rsidRPr="006E4332">
        <w:t>Counterparty and Group limits</w:t>
      </w:r>
    </w:p>
    <w:p w14:paraId="2BA8CC75" w14:textId="77777777" w:rsidR="00E3289C" w:rsidRPr="006E4332" w:rsidRDefault="00E3289C" w:rsidP="00E3289C">
      <w:pPr>
        <w:pStyle w:val="BodyText"/>
        <w:widowControl w:val="0"/>
        <w:ind w:firstLine="720"/>
      </w:pPr>
      <w:r w:rsidRPr="006E4332">
        <w:t>Time and monetary limits</w:t>
      </w:r>
    </w:p>
    <w:p w14:paraId="05B881DE" w14:textId="77777777" w:rsidR="00E3289C" w:rsidRPr="006E4332" w:rsidRDefault="00E3289C" w:rsidP="00E3289C">
      <w:pPr>
        <w:pStyle w:val="BodyText"/>
        <w:widowControl w:val="0"/>
        <w:ind w:firstLine="720"/>
      </w:pPr>
      <w:r w:rsidRPr="006E4332">
        <w:t>Sovereign limits</w:t>
      </w:r>
    </w:p>
    <w:p w14:paraId="125AE191" w14:textId="77777777" w:rsidR="00E3289C" w:rsidRPr="006E4332" w:rsidRDefault="00E3289C" w:rsidP="00E3289C">
      <w:pPr>
        <w:pStyle w:val="BodyText"/>
        <w:widowControl w:val="0"/>
        <w:ind w:firstLine="720"/>
      </w:pPr>
      <w:r w:rsidRPr="006E4332">
        <w:t>Money Market Funds</w:t>
      </w:r>
    </w:p>
    <w:p w14:paraId="438C28D4" w14:textId="77777777" w:rsidR="00E3289C" w:rsidRPr="006E4332" w:rsidRDefault="00E3289C" w:rsidP="00E3289C">
      <w:pPr>
        <w:pStyle w:val="BodyText"/>
        <w:widowControl w:val="0"/>
        <w:ind w:firstLine="720"/>
      </w:pPr>
      <w:r w:rsidRPr="006E4332">
        <w:t>Enhanced Money Market Funds</w:t>
      </w:r>
    </w:p>
    <w:p w14:paraId="73072CD9" w14:textId="77777777" w:rsidR="00E3289C" w:rsidRPr="006E4332" w:rsidRDefault="00E3289C" w:rsidP="00E3289C">
      <w:pPr>
        <w:pStyle w:val="BodyText"/>
        <w:widowControl w:val="0"/>
        <w:ind w:left="720"/>
      </w:pPr>
      <w:r w:rsidRPr="006E4332">
        <w:t>Main Bankers</w:t>
      </w:r>
    </w:p>
    <w:p w14:paraId="755066E2" w14:textId="77777777" w:rsidR="00E3289C" w:rsidRPr="006E4332" w:rsidRDefault="00E3289C" w:rsidP="00E3289C">
      <w:pPr>
        <w:pStyle w:val="BodyText"/>
        <w:widowControl w:val="0"/>
      </w:pPr>
    </w:p>
    <w:p w14:paraId="2887D53A" w14:textId="77777777" w:rsidR="00E3289C" w:rsidRPr="006E4332" w:rsidRDefault="00E3289C" w:rsidP="00D60EFC">
      <w:pPr>
        <w:pStyle w:val="ListParagraph"/>
        <w:numPr>
          <w:ilvl w:val="0"/>
          <w:numId w:val="10"/>
        </w:numPr>
        <w:rPr>
          <w:rFonts w:ascii="Arial" w:hAnsi="Arial" w:cs="Arial"/>
          <w:b/>
          <w:szCs w:val="20"/>
          <w:lang w:val="en-US"/>
        </w:rPr>
      </w:pPr>
      <w:r w:rsidRPr="006E4332">
        <w:rPr>
          <w:rFonts w:ascii="Arial" w:hAnsi="Arial" w:cs="Arial"/>
          <w:b/>
          <w:szCs w:val="20"/>
          <w:lang w:val="en-US"/>
        </w:rPr>
        <w:t xml:space="preserve">Environmental, Social and Governance (ESG) Considerations </w:t>
      </w:r>
    </w:p>
    <w:p w14:paraId="7E0BE5E9" w14:textId="77777777" w:rsidR="00E3289C" w:rsidRPr="006E4332" w:rsidRDefault="00E3289C" w:rsidP="00E3289C">
      <w:pPr>
        <w:pStyle w:val="BodyText"/>
        <w:widowControl w:val="0"/>
        <w:ind w:left="720"/>
        <w:rPr>
          <w:b/>
        </w:rPr>
      </w:pPr>
    </w:p>
    <w:p w14:paraId="298025AA" w14:textId="77777777" w:rsidR="00E3289C" w:rsidRPr="006E4332" w:rsidRDefault="00E3289C" w:rsidP="00D60EFC">
      <w:pPr>
        <w:pStyle w:val="BodyText"/>
        <w:widowControl w:val="0"/>
        <w:numPr>
          <w:ilvl w:val="0"/>
          <w:numId w:val="10"/>
        </w:numPr>
        <w:rPr>
          <w:b/>
        </w:rPr>
      </w:pPr>
      <w:r w:rsidRPr="006E4332">
        <w:rPr>
          <w:b/>
        </w:rPr>
        <w:t>Risk Implications</w:t>
      </w:r>
    </w:p>
    <w:p w14:paraId="3431B4B7" w14:textId="77777777" w:rsidR="00E3289C" w:rsidRPr="006E4332" w:rsidRDefault="00E3289C" w:rsidP="00E3289C">
      <w:pPr>
        <w:pStyle w:val="BodyText"/>
        <w:widowControl w:val="0"/>
        <w:ind w:left="720"/>
        <w:rPr>
          <w:b/>
        </w:rPr>
      </w:pPr>
    </w:p>
    <w:p w14:paraId="71EE8EAB" w14:textId="77777777" w:rsidR="00E3289C" w:rsidRPr="00F23A42" w:rsidRDefault="00E3289C" w:rsidP="00D60EFC">
      <w:pPr>
        <w:pStyle w:val="BodyText"/>
        <w:widowControl w:val="0"/>
        <w:numPr>
          <w:ilvl w:val="0"/>
          <w:numId w:val="10"/>
        </w:numPr>
        <w:rPr>
          <w:b/>
        </w:rPr>
      </w:pPr>
      <w:r w:rsidRPr="006E4332">
        <w:rPr>
          <w:b/>
        </w:rPr>
        <w:t>Scheme of Delegation</w:t>
      </w:r>
    </w:p>
    <w:p w14:paraId="67E42D2E" w14:textId="77777777" w:rsidR="00E3289C" w:rsidRPr="00B352BD" w:rsidRDefault="00E3289C" w:rsidP="00E3289C">
      <w:pPr>
        <w:pStyle w:val="Heading2"/>
        <w:keepNext w:val="0"/>
        <w:widowControl w:val="0"/>
        <w:rPr>
          <w:b/>
          <w:color w:val="auto"/>
        </w:rPr>
      </w:pPr>
      <w:r w:rsidRPr="006E4332">
        <w:rPr>
          <w:b/>
          <w:color w:val="auto"/>
        </w:rPr>
        <w:br w:type="page"/>
      </w:r>
      <w:r w:rsidRPr="00B352BD">
        <w:rPr>
          <w:b/>
          <w:color w:val="auto"/>
        </w:rPr>
        <w:lastRenderedPageBreak/>
        <w:t>TREASURY MANAGEMENT STRATEGY STATEMENT</w:t>
      </w:r>
    </w:p>
    <w:p w14:paraId="37A62FAD" w14:textId="77777777" w:rsidR="00E3289C" w:rsidRPr="00B352BD" w:rsidRDefault="00E3289C" w:rsidP="00E3289C">
      <w:pPr>
        <w:widowControl w:val="0"/>
        <w:rPr>
          <w:rFonts w:ascii="Arial" w:hAnsi="Arial"/>
          <w:b/>
          <w:sz w:val="28"/>
        </w:rPr>
      </w:pPr>
      <w:r w:rsidRPr="00B352BD">
        <w:rPr>
          <w:rFonts w:ascii="Arial" w:hAnsi="Arial"/>
          <w:b/>
          <w:sz w:val="28"/>
        </w:rPr>
        <w:t xml:space="preserve"> </w:t>
      </w:r>
    </w:p>
    <w:p w14:paraId="7D7FE440" w14:textId="77777777" w:rsidR="00E3289C" w:rsidRPr="00B352BD" w:rsidRDefault="00E3289C" w:rsidP="00D60EFC">
      <w:pPr>
        <w:widowControl w:val="0"/>
        <w:numPr>
          <w:ilvl w:val="0"/>
          <w:numId w:val="6"/>
        </w:numPr>
        <w:ind w:left="567" w:hanging="709"/>
        <w:rPr>
          <w:rFonts w:ascii="Arial" w:hAnsi="Arial" w:cs="Arial"/>
          <w:b/>
          <w:sz w:val="28"/>
          <w:szCs w:val="28"/>
          <w:u w:val="single"/>
        </w:rPr>
      </w:pPr>
      <w:r w:rsidRPr="00B352BD">
        <w:rPr>
          <w:rFonts w:ascii="Arial" w:hAnsi="Arial" w:cs="Arial"/>
          <w:b/>
          <w:sz w:val="28"/>
          <w:szCs w:val="28"/>
          <w:u w:val="single"/>
        </w:rPr>
        <w:t>Introduction</w:t>
      </w:r>
    </w:p>
    <w:p w14:paraId="2E645460" w14:textId="77777777" w:rsidR="00E3289C" w:rsidRPr="00B352BD" w:rsidRDefault="00E3289C" w:rsidP="00E3289C">
      <w:pPr>
        <w:widowControl w:val="0"/>
        <w:tabs>
          <w:tab w:val="left" w:pos="0"/>
        </w:tabs>
        <w:ind w:left="360"/>
        <w:rPr>
          <w:rFonts w:ascii="Arial" w:hAnsi="Arial" w:cs="Arial"/>
        </w:rPr>
      </w:pPr>
    </w:p>
    <w:p w14:paraId="5A05BAB8" w14:textId="77777777" w:rsidR="00E3289C" w:rsidRPr="007B633D" w:rsidRDefault="00E3289C" w:rsidP="00D60EFC">
      <w:pPr>
        <w:widowControl w:val="0"/>
        <w:numPr>
          <w:ilvl w:val="1"/>
          <w:numId w:val="6"/>
        </w:numPr>
        <w:ind w:left="567" w:hanging="709"/>
        <w:jc w:val="both"/>
        <w:rPr>
          <w:rFonts w:ascii="Arial" w:hAnsi="Arial" w:cs="Arial"/>
        </w:rPr>
      </w:pPr>
      <w:r w:rsidRPr="007B633D">
        <w:rPr>
          <w:rFonts w:ascii="Arial" w:hAnsi="Arial" w:cs="Arial"/>
          <w:bCs/>
          <w:color w:val="262626" w:themeColor="text1" w:themeTint="D9"/>
          <w:lang w:val="en-AU"/>
        </w:rPr>
        <w:t>CIPFA published the updated Treasury Management and Prudential Codes on 20</w:t>
      </w:r>
      <w:r w:rsidRPr="007B633D">
        <w:rPr>
          <w:rFonts w:ascii="Arial" w:hAnsi="Arial" w:cs="Arial"/>
          <w:bCs/>
          <w:color w:val="262626" w:themeColor="text1" w:themeTint="D9"/>
          <w:vertAlign w:val="superscript"/>
          <w:lang w:val="en-AU"/>
        </w:rPr>
        <w:t>th</w:t>
      </w:r>
      <w:r w:rsidRPr="007B633D">
        <w:rPr>
          <w:rFonts w:ascii="Arial" w:hAnsi="Arial" w:cs="Arial"/>
          <w:bCs/>
          <w:color w:val="262626" w:themeColor="text1" w:themeTint="D9"/>
          <w:lang w:val="en-AU"/>
        </w:rPr>
        <w:t xml:space="preserve"> December 2021 with full implementation expected from 2023/24. Th</w:t>
      </w:r>
      <w:r>
        <w:rPr>
          <w:rFonts w:ascii="Arial" w:hAnsi="Arial" w:cs="Arial"/>
          <w:bCs/>
          <w:color w:val="262626" w:themeColor="text1" w:themeTint="D9"/>
          <w:lang w:val="en-AU"/>
        </w:rPr>
        <w:t>is</w:t>
      </w:r>
      <w:r w:rsidRPr="007B633D">
        <w:rPr>
          <w:rFonts w:ascii="Arial" w:hAnsi="Arial" w:cs="Arial"/>
          <w:bCs/>
          <w:color w:val="262626" w:themeColor="text1" w:themeTint="D9"/>
          <w:lang w:val="en-AU"/>
        </w:rPr>
        <w:t xml:space="preserve"> Treasury Management Strategy Statement (TMSS</w:t>
      </w:r>
      <w:r>
        <w:rPr>
          <w:rFonts w:ascii="Arial" w:hAnsi="Arial" w:cs="Arial"/>
          <w:bCs/>
          <w:color w:val="262626" w:themeColor="text1" w:themeTint="D9"/>
          <w:lang w:val="en-AU"/>
        </w:rPr>
        <w:t xml:space="preserve"> 2026/27</w:t>
      </w:r>
      <w:r w:rsidRPr="007B633D">
        <w:rPr>
          <w:rFonts w:ascii="Arial" w:hAnsi="Arial" w:cs="Arial"/>
          <w:bCs/>
          <w:color w:val="262626" w:themeColor="text1" w:themeTint="D9"/>
          <w:lang w:val="en-AU"/>
        </w:rPr>
        <w:t xml:space="preserve">) and Annual </w:t>
      </w:r>
      <w:r>
        <w:rPr>
          <w:rFonts w:ascii="Arial" w:hAnsi="Arial" w:cs="Arial"/>
          <w:bCs/>
          <w:color w:val="262626" w:themeColor="text1" w:themeTint="D9"/>
          <w:lang w:val="en-AU"/>
        </w:rPr>
        <w:t xml:space="preserve">Investment </w:t>
      </w:r>
      <w:r w:rsidRPr="007B633D">
        <w:rPr>
          <w:rFonts w:ascii="Arial" w:hAnsi="Arial" w:cs="Arial"/>
          <w:bCs/>
          <w:color w:val="262626" w:themeColor="text1" w:themeTint="D9"/>
          <w:lang w:val="en-AU"/>
        </w:rPr>
        <w:t>S</w:t>
      </w:r>
      <w:r>
        <w:rPr>
          <w:rFonts w:ascii="Arial" w:hAnsi="Arial" w:cs="Arial"/>
          <w:bCs/>
          <w:color w:val="262626" w:themeColor="text1" w:themeTint="D9"/>
          <w:lang w:val="en-AU"/>
        </w:rPr>
        <w:t xml:space="preserve">trategy </w:t>
      </w:r>
      <w:r w:rsidRPr="007B633D">
        <w:rPr>
          <w:rFonts w:ascii="Arial" w:hAnsi="Arial" w:cs="Arial"/>
          <w:bCs/>
          <w:color w:val="262626" w:themeColor="text1" w:themeTint="D9"/>
          <w:lang w:val="en-AU"/>
        </w:rPr>
        <w:t>(</w:t>
      </w:r>
      <w:r>
        <w:rPr>
          <w:rFonts w:ascii="Arial" w:hAnsi="Arial" w:cs="Arial"/>
          <w:bCs/>
          <w:color w:val="262626" w:themeColor="text1" w:themeTint="D9"/>
          <w:lang w:val="en-AU"/>
        </w:rPr>
        <w:t>A</w:t>
      </w:r>
      <w:r w:rsidRPr="007B633D">
        <w:rPr>
          <w:rFonts w:ascii="Arial" w:hAnsi="Arial" w:cs="Arial"/>
          <w:bCs/>
          <w:color w:val="262626" w:themeColor="text1" w:themeTint="D9"/>
          <w:lang w:val="en-AU"/>
        </w:rPr>
        <w:t>IS</w:t>
      </w:r>
      <w:r>
        <w:rPr>
          <w:rFonts w:ascii="Arial" w:hAnsi="Arial" w:cs="Arial"/>
          <w:bCs/>
          <w:color w:val="262626" w:themeColor="text1" w:themeTint="D9"/>
          <w:lang w:val="en-AU"/>
        </w:rPr>
        <w:t xml:space="preserve"> 2026/27</w:t>
      </w:r>
      <w:r w:rsidRPr="007B633D">
        <w:rPr>
          <w:rFonts w:ascii="Arial" w:hAnsi="Arial" w:cs="Arial"/>
          <w:bCs/>
          <w:color w:val="262626" w:themeColor="text1" w:themeTint="D9"/>
          <w:lang w:val="en-AU"/>
        </w:rPr>
        <w:t xml:space="preserve">) have been prepared in accordance with the requirements set out within the two codes.  </w:t>
      </w:r>
    </w:p>
    <w:p w14:paraId="28D90880" w14:textId="77777777" w:rsidR="00E3289C" w:rsidRPr="007B633D" w:rsidRDefault="00E3289C" w:rsidP="00E3289C">
      <w:pPr>
        <w:widowControl w:val="0"/>
        <w:ind w:left="567"/>
        <w:jc w:val="both"/>
        <w:rPr>
          <w:rFonts w:ascii="Arial" w:hAnsi="Arial" w:cs="Arial"/>
        </w:rPr>
      </w:pPr>
    </w:p>
    <w:p w14:paraId="2927E04E" w14:textId="77777777" w:rsidR="00E3289C" w:rsidRPr="007B633D" w:rsidRDefault="00E3289C" w:rsidP="00D60EFC">
      <w:pPr>
        <w:widowControl w:val="0"/>
        <w:numPr>
          <w:ilvl w:val="1"/>
          <w:numId w:val="6"/>
        </w:numPr>
        <w:ind w:left="567" w:hanging="709"/>
        <w:jc w:val="both"/>
        <w:rPr>
          <w:rFonts w:ascii="Arial" w:hAnsi="Arial" w:cs="Arial"/>
        </w:rPr>
      </w:pPr>
      <w:r w:rsidRPr="00B352BD">
        <w:rPr>
          <w:rFonts w:ascii="Arial" w:hAnsi="Arial" w:cs="Arial"/>
          <w:iCs/>
          <w:color w:val="0D0D0D"/>
          <w:lang w:val="en-AU"/>
        </w:rPr>
        <w:t xml:space="preserve">The </w:t>
      </w:r>
      <w:r>
        <w:rPr>
          <w:rFonts w:ascii="Arial" w:hAnsi="Arial" w:cs="Arial"/>
          <w:iCs/>
          <w:color w:val="0D0D0D"/>
          <w:lang w:val="en-AU"/>
        </w:rPr>
        <w:t xml:space="preserve">2021 revisions to the two codes reflect the </w:t>
      </w:r>
      <w:r w:rsidRPr="00B352BD">
        <w:rPr>
          <w:rFonts w:ascii="Arial" w:hAnsi="Arial" w:cs="Arial"/>
          <w:iCs/>
          <w:color w:val="0D0D0D"/>
          <w:lang w:val="en-AU"/>
        </w:rPr>
        <w:t>major expansion of local authority investment activity over the past few years</w:t>
      </w:r>
      <w:r>
        <w:rPr>
          <w:rFonts w:ascii="Arial" w:hAnsi="Arial" w:cs="Arial"/>
          <w:iCs/>
          <w:color w:val="0D0D0D"/>
          <w:lang w:val="en-AU"/>
        </w:rPr>
        <w:t xml:space="preserve"> </w:t>
      </w:r>
      <w:r w:rsidRPr="00B352BD">
        <w:rPr>
          <w:rFonts w:ascii="Arial" w:hAnsi="Arial" w:cs="Arial"/>
          <w:iCs/>
          <w:color w:val="0D0D0D"/>
          <w:lang w:val="en-AU"/>
        </w:rPr>
        <w:t xml:space="preserve">into the purchase of non-financial investments, particularly property. </w:t>
      </w:r>
    </w:p>
    <w:p w14:paraId="79D4E6F3" w14:textId="77777777" w:rsidR="00E3289C" w:rsidRDefault="00E3289C" w:rsidP="00E3289C">
      <w:pPr>
        <w:pStyle w:val="ListParagraph"/>
        <w:rPr>
          <w:rFonts w:ascii="Arial" w:hAnsi="Arial" w:cs="Arial"/>
          <w:iCs/>
          <w:color w:val="0D0D0D"/>
          <w:lang w:val="en-AU"/>
        </w:rPr>
      </w:pPr>
    </w:p>
    <w:p w14:paraId="77ACF794" w14:textId="77777777" w:rsidR="00E3289C" w:rsidRPr="00B352BD" w:rsidRDefault="00E3289C" w:rsidP="00D60EFC">
      <w:pPr>
        <w:widowControl w:val="0"/>
        <w:numPr>
          <w:ilvl w:val="1"/>
          <w:numId w:val="6"/>
        </w:numPr>
        <w:ind w:left="567" w:hanging="709"/>
        <w:jc w:val="both"/>
        <w:rPr>
          <w:rFonts w:ascii="Arial" w:hAnsi="Arial" w:cs="Arial"/>
        </w:rPr>
      </w:pPr>
      <w:r w:rsidRPr="00B352BD">
        <w:rPr>
          <w:rFonts w:ascii="Arial" w:hAnsi="Arial" w:cs="Arial"/>
          <w:iCs/>
          <w:color w:val="0D0D0D"/>
          <w:lang w:val="en-AU"/>
        </w:rPr>
        <w:t xml:space="preserve">The Codes require an authority to ensure that: </w:t>
      </w:r>
    </w:p>
    <w:p w14:paraId="41A2D9FC" w14:textId="77777777" w:rsidR="00E3289C" w:rsidRDefault="00E3289C" w:rsidP="00E3289C">
      <w:pPr>
        <w:widowControl w:val="0"/>
        <w:jc w:val="both"/>
        <w:rPr>
          <w:rFonts w:ascii="Arial" w:hAnsi="Arial" w:cs="Arial"/>
          <w:highlight w:val="yellow"/>
        </w:rPr>
      </w:pPr>
    </w:p>
    <w:p w14:paraId="1F915DB5" w14:textId="77777777" w:rsidR="00E3289C" w:rsidRDefault="00E3289C" w:rsidP="00D60EFC">
      <w:pPr>
        <w:pStyle w:val="ListParagraph"/>
        <w:numPr>
          <w:ilvl w:val="0"/>
          <w:numId w:val="14"/>
        </w:numPr>
        <w:ind w:left="1276" w:hanging="425"/>
        <w:jc w:val="both"/>
        <w:rPr>
          <w:rFonts w:ascii="Arial" w:hAnsi="Arial" w:cs="Arial"/>
          <w:bCs/>
          <w:iCs/>
          <w:color w:val="0D0D0D"/>
        </w:rPr>
      </w:pPr>
      <w:r w:rsidRPr="00645F36">
        <w:rPr>
          <w:rFonts w:ascii="Arial" w:hAnsi="Arial" w:cs="Arial"/>
          <w:bCs/>
          <w:iCs/>
          <w:color w:val="0D0D0D"/>
        </w:rPr>
        <w:t>it defines its risk appetite and its governance processes for managing risk.</w:t>
      </w:r>
    </w:p>
    <w:p w14:paraId="26C4B555" w14:textId="77777777" w:rsidR="00E3289C" w:rsidRDefault="00E3289C" w:rsidP="00E3289C">
      <w:pPr>
        <w:pStyle w:val="ListParagraph"/>
        <w:ind w:left="1276"/>
        <w:jc w:val="both"/>
        <w:rPr>
          <w:rFonts w:ascii="Arial" w:hAnsi="Arial" w:cs="Arial"/>
          <w:bCs/>
          <w:iCs/>
          <w:color w:val="0D0D0D"/>
        </w:rPr>
      </w:pPr>
    </w:p>
    <w:p w14:paraId="636D49C8" w14:textId="77777777" w:rsidR="00E3289C" w:rsidRDefault="00E3289C" w:rsidP="00D60EFC">
      <w:pPr>
        <w:pStyle w:val="ListParagraph"/>
        <w:numPr>
          <w:ilvl w:val="0"/>
          <w:numId w:val="14"/>
        </w:numPr>
        <w:ind w:left="1276" w:hanging="425"/>
        <w:jc w:val="both"/>
        <w:rPr>
          <w:rFonts w:ascii="Arial" w:hAnsi="Arial" w:cs="Arial"/>
          <w:bCs/>
          <w:iCs/>
          <w:color w:val="0D0D0D"/>
        </w:rPr>
      </w:pPr>
      <w:r w:rsidRPr="00F3377E">
        <w:rPr>
          <w:rFonts w:ascii="Arial" w:hAnsi="Arial" w:cs="Arial"/>
          <w:bCs/>
          <w:iCs/>
          <w:color w:val="0D0D0D"/>
        </w:rPr>
        <w:t xml:space="preserve">it sets out, at a high level, its investment policy in relation to environmental, social and governance aspects. </w:t>
      </w:r>
    </w:p>
    <w:p w14:paraId="72B45791" w14:textId="77777777" w:rsidR="00E3289C" w:rsidRPr="0074304D" w:rsidRDefault="00E3289C" w:rsidP="00E3289C">
      <w:pPr>
        <w:jc w:val="both"/>
        <w:rPr>
          <w:rFonts w:ascii="Arial" w:hAnsi="Arial" w:cs="Arial"/>
          <w:bCs/>
          <w:iCs/>
          <w:color w:val="0D0D0D"/>
        </w:rPr>
      </w:pPr>
    </w:p>
    <w:p w14:paraId="0B9054AF" w14:textId="77777777" w:rsidR="00E3289C" w:rsidRDefault="00E3289C" w:rsidP="00D60EFC">
      <w:pPr>
        <w:pStyle w:val="ListParagraph"/>
        <w:numPr>
          <w:ilvl w:val="0"/>
          <w:numId w:val="14"/>
        </w:numPr>
        <w:ind w:left="1276" w:hanging="425"/>
        <w:jc w:val="both"/>
        <w:rPr>
          <w:rFonts w:ascii="Arial" w:hAnsi="Arial" w:cs="Arial"/>
          <w:bCs/>
          <w:iCs/>
          <w:color w:val="0D0D0D"/>
        </w:rPr>
      </w:pPr>
      <w:r w:rsidRPr="00F3377E">
        <w:rPr>
          <w:rFonts w:ascii="Arial" w:hAnsi="Arial" w:cs="Arial"/>
          <w:bCs/>
          <w:iCs/>
          <w:color w:val="0D0D0D"/>
        </w:rPr>
        <w:t>increases in the CFR and borrowing are undertaken solely for purposes directly and primarily related to the functions of the authority.  Where any financial returns are related to the financial viability of the project in question, they should be incidental to its primary purpose.</w:t>
      </w:r>
    </w:p>
    <w:p w14:paraId="3B0D6C8E" w14:textId="77777777" w:rsidR="00E3289C" w:rsidRPr="0074304D" w:rsidRDefault="00E3289C" w:rsidP="00E3289C">
      <w:pPr>
        <w:jc w:val="both"/>
        <w:rPr>
          <w:rFonts w:ascii="Arial" w:hAnsi="Arial" w:cs="Arial"/>
          <w:bCs/>
          <w:iCs/>
          <w:color w:val="0D0D0D"/>
        </w:rPr>
      </w:pPr>
    </w:p>
    <w:p w14:paraId="0D0A5928" w14:textId="77777777" w:rsidR="00E3289C" w:rsidRDefault="00E3289C" w:rsidP="00D60EFC">
      <w:pPr>
        <w:pStyle w:val="ListParagraph"/>
        <w:numPr>
          <w:ilvl w:val="0"/>
          <w:numId w:val="14"/>
        </w:numPr>
        <w:ind w:left="1276" w:hanging="425"/>
        <w:jc w:val="both"/>
        <w:rPr>
          <w:rFonts w:ascii="Arial" w:hAnsi="Arial" w:cs="Arial"/>
          <w:bCs/>
          <w:iCs/>
          <w:color w:val="0D0D0D"/>
        </w:rPr>
      </w:pPr>
      <w:r w:rsidRPr="00F3377E">
        <w:rPr>
          <w:rFonts w:ascii="Arial" w:hAnsi="Arial" w:cs="Arial"/>
          <w:bCs/>
          <w:iCs/>
          <w:color w:val="0D0D0D"/>
        </w:rPr>
        <w:t>its capital plans and investment plans ar</w:t>
      </w:r>
      <w:r>
        <w:rPr>
          <w:rFonts w:ascii="Arial" w:hAnsi="Arial" w:cs="Arial"/>
          <w:bCs/>
          <w:iCs/>
          <w:color w:val="0D0D0D"/>
        </w:rPr>
        <w:t>e affordable and proportionate.</w:t>
      </w:r>
    </w:p>
    <w:p w14:paraId="610B17A4" w14:textId="77777777" w:rsidR="00E3289C" w:rsidRPr="00A76D7A" w:rsidRDefault="00E3289C" w:rsidP="00E3289C">
      <w:pPr>
        <w:pStyle w:val="ListParagraph"/>
        <w:rPr>
          <w:rFonts w:ascii="Arial" w:hAnsi="Arial" w:cs="Arial"/>
          <w:bCs/>
          <w:iCs/>
          <w:color w:val="0D0D0D"/>
        </w:rPr>
      </w:pPr>
    </w:p>
    <w:p w14:paraId="0196CCB1" w14:textId="10CCE9FD" w:rsidR="00E3289C" w:rsidRDefault="00E3289C" w:rsidP="00D60EFC">
      <w:pPr>
        <w:pStyle w:val="ListParagraph"/>
        <w:numPr>
          <w:ilvl w:val="0"/>
          <w:numId w:val="14"/>
        </w:numPr>
        <w:ind w:left="1276" w:hanging="425"/>
        <w:jc w:val="both"/>
        <w:rPr>
          <w:rFonts w:ascii="Arial" w:hAnsi="Arial" w:cs="Arial"/>
          <w:bCs/>
          <w:iCs/>
          <w:color w:val="0D0D0D"/>
        </w:rPr>
      </w:pPr>
      <w:r w:rsidRPr="00A76D7A">
        <w:rPr>
          <w:rFonts w:ascii="Arial" w:hAnsi="Arial" w:cs="Arial"/>
          <w:bCs/>
          <w:iCs/>
          <w:color w:val="0D0D0D"/>
        </w:rPr>
        <w:t>it does not borrow to finance capital expenditure to invest primarily for commercial return</w:t>
      </w:r>
      <w:r w:rsidR="00082440">
        <w:rPr>
          <w:rFonts w:ascii="Arial" w:hAnsi="Arial" w:cs="Arial"/>
          <w:bCs/>
          <w:iCs/>
          <w:color w:val="0D0D0D"/>
        </w:rPr>
        <w:t>.</w:t>
      </w:r>
    </w:p>
    <w:p w14:paraId="11375B2D" w14:textId="77777777" w:rsidR="00E3289C" w:rsidRPr="0074304D" w:rsidRDefault="00E3289C" w:rsidP="00E3289C">
      <w:pPr>
        <w:jc w:val="both"/>
        <w:rPr>
          <w:rFonts w:ascii="Arial" w:hAnsi="Arial" w:cs="Arial"/>
          <w:bCs/>
          <w:iCs/>
          <w:color w:val="0D0D0D"/>
        </w:rPr>
      </w:pPr>
    </w:p>
    <w:p w14:paraId="13B17BA8" w14:textId="77777777" w:rsidR="00E3289C" w:rsidRDefault="00E3289C" w:rsidP="00D60EFC">
      <w:pPr>
        <w:pStyle w:val="ListParagraph"/>
        <w:numPr>
          <w:ilvl w:val="0"/>
          <w:numId w:val="14"/>
        </w:numPr>
        <w:ind w:left="1276" w:hanging="425"/>
        <w:jc w:val="both"/>
        <w:rPr>
          <w:rFonts w:ascii="Arial" w:hAnsi="Arial" w:cs="Arial"/>
          <w:bCs/>
          <w:iCs/>
          <w:color w:val="0D0D0D"/>
        </w:rPr>
      </w:pPr>
      <w:r w:rsidRPr="00F3377E">
        <w:rPr>
          <w:rFonts w:ascii="Arial" w:hAnsi="Arial" w:cs="Arial"/>
          <w:bCs/>
          <w:iCs/>
          <w:color w:val="0D0D0D"/>
        </w:rPr>
        <w:t>risks associated with commercial investments are proportionate to overall financial capacity to sustain losses.</w:t>
      </w:r>
    </w:p>
    <w:p w14:paraId="1AE1A4C0" w14:textId="77777777" w:rsidR="00E3289C" w:rsidRPr="0074304D" w:rsidRDefault="00E3289C" w:rsidP="00E3289C">
      <w:pPr>
        <w:jc w:val="both"/>
        <w:rPr>
          <w:rFonts w:ascii="Arial" w:hAnsi="Arial" w:cs="Arial"/>
          <w:bCs/>
          <w:iCs/>
          <w:color w:val="0D0D0D"/>
        </w:rPr>
      </w:pPr>
    </w:p>
    <w:p w14:paraId="5D7A2B3C" w14:textId="77777777" w:rsidR="00E3289C" w:rsidRPr="0074304D" w:rsidRDefault="00E3289C" w:rsidP="00D60EFC">
      <w:pPr>
        <w:pStyle w:val="ListParagraph"/>
        <w:numPr>
          <w:ilvl w:val="0"/>
          <w:numId w:val="14"/>
        </w:numPr>
        <w:ind w:left="1276" w:hanging="425"/>
        <w:jc w:val="both"/>
        <w:rPr>
          <w:rFonts w:ascii="Arial" w:hAnsi="Arial" w:cs="Arial"/>
          <w:bCs/>
          <w:iCs/>
          <w:color w:val="0D0D0D"/>
        </w:rPr>
      </w:pPr>
      <w:r>
        <w:rPr>
          <w:rFonts w:ascii="Arial" w:hAnsi="Arial" w:cs="Arial"/>
        </w:rPr>
        <w:t>a</w:t>
      </w:r>
      <w:r w:rsidRPr="0074304D">
        <w:rPr>
          <w:rFonts w:ascii="Arial" w:hAnsi="Arial" w:cs="Arial"/>
        </w:rPr>
        <w:t xml:space="preserve"> local authority should assess the risks and rewards of significant investments over the longer term, as opposed to the usual three to five years that most local authority’s financial planning has been conducted over, in order to ensure the long-term financial sustainability of the authority. (CIPFA has not defined what longer term means but it is likely to infer 20-30 years in line with the financing time horizon and the expected life of the assets, while medium term financial planning, at a higher level of detail, is probably aimed at around a 10 year time frame and to focus on affordability in particular). </w:t>
      </w:r>
    </w:p>
    <w:p w14:paraId="32D977F3" w14:textId="77777777" w:rsidR="00E3289C" w:rsidRPr="0074304D" w:rsidRDefault="00E3289C" w:rsidP="00E3289C">
      <w:pPr>
        <w:jc w:val="both"/>
        <w:rPr>
          <w:rFonts w:ascii="Arial" w:hAnsi="Arial" w:cs="Arial"/>
          <w:bCs/>
          <w:iCs/>
          <w:color w:val="0D0D0D"/>
        </w:rPr>
      </w:pPr>
    </w:p>
    <w:p w14:paraId="5BDB6AA9" w14:textId="77777777" w:rsidR="00E3289C" w:rsidRDefault="00E3289C" w:rsidP="00D60EFC">
      <w:pPr>
        <w:widowControl w:val="0"/>
        <w:numPr>
          <w:ilvl w:val="1"/>
          <w:numId w:val="12"/>
        </w:numPr>
        <w:spacing w:after="120"/>
        <w:ind w:left="1134" w:hanging="283"/>
        <w:jc w:val="both"/>
        <w:rPr>
          <w:rFonts w:ascii="Arial" w:hAnsi="Arial" w:cs="Arial"/>
        </w:rPr>
      </w:pPr>
      <w:r w:rsidRPr="0074304D">
        <w:rPr>
          <w:rFonts w:ascii="Arial" w:hAnsi="Arial" w:cs="Arial"/>
        </w:rPr>
        <w:t>local authorities should ensure that an authority’s approach to commercial activities should be proportional to its overall resources.</w:t>
      </w:r>
    </w:p>
    <w:p w14:paraId="0B97B6E1" w14:textId="77777777" w:rsidR="00E3289C" w:rsidRPr="00A76D7A" w:rsidRDefault="00E3289C" w:rsidP="00D60EFC">
      <w:pPr>
        <w:widowControl w:val="0"/>
        <w:numPr>
          <w:ilvl w:val="1"/>
          <w:numId w:val="12"/>
        </w:numPr>
        <w:spacing w:after="120"/>
        <w:ind w:left="1134" w:hanging="283"/>
        <w:jc w:val="both"/>
        <w:rPr>
          <w:rFonts w:ascii="Arial" w:hAnsi="Arial" w:cs="Arial"/>
        </w:rPr>
      </w:pPr>
      <w:r w:rsidRPr="00A76D7A">
        <w:rPr>
          <w:rFonts w:ascii="Arial" w:hAnsi="Arial" w:cs="Arial"/>
        </w:rPr>
        <w:t>treasury management decisions are in accordance with good professional practice.</w:t>
      </w:r>
    </w:p>
    <w:p w14:paraId="564F9547" w14:textId="77777777" w:rsidR="00E3289C" w:rsidRPr="00A76D7A" w:rsidRDefault="00E3289C" w:rsidP="00E3289C">
      <w:pPr>
        <w:jc w:val="both"/>
        <w:rPr>
          <w:rFonts w:ascii="Arial" w:hAnsi="Arial" w:cs="Arial"/>
          <w:bCs/>
          <w:iCs/>
          <w:color w:val="0D0D0D"/>
          <w:sz w:val="20"/>
          <w:szCs w:val="20"/>
        </w:rPr>
      </w:pPr>
    </w:p>
    <w:p w14:paraId="461E9FD5" w14:textId="77777777" w:rsidR="00E3289C" w:rsidRPr="006E4332" w:rsidRDefault="00E3289C" w:rsidP="00D60EFC">
      <w:pPr>
        <w:widowControl w:val="0"/>
        <w:numPr>
          <w:ilvl w:val="1"/>
          <w:numId w:val="12"/>
        </w:numPr>
        <w:spacing w:after="120"/>
        <w:ind w:left="1134" w:hanging="283"/>
        <w:jc w:val="both"/>
        <w:rPr>
          <w:rFonts w:ascii="Arial" w:hAnsi="Arial" w:cs="Arial"/>
        </w:rPr>
      </w:pPr>
      <w:r w:rsidRPr="0074304D">
        <w:rPr>
          <w:rFonts w:ascii="Arial" w:hAnsi="Arial" w:cs="Arial"/>
        </w:rPr>
        <w:t xml:space="preserve">A local authority should have access to the appropriate level of expertise to be able to operate safely in all areas of investment and capital expenditure, and to involve members adequately in making properly informed decisions </w:t>
      </w:r>
      <w:r w:rsidRPr="006E4332">
        <w:rPr>
          <w:rFonts w:ascii="Arial" w:hAnsi="Arial" w:cs="Arial"/>
        </w:rPr>
        <w:t>on such investments.</w:t>
      </w:r>
    </w:p>
    <w:p w14:paraId="34EB5863" w14:textId="77777777" w:rsidR="00082440" w:rsidRDefault="00082440" w:rsidP="00082440">
      <w:pPr>
        <w:pStyle w:val="BodyText"/>
        <w:widowControl w:val="0"/>
        <w:ind w:left="709"/>
        <w:rPr>
          <w:b/>
          <w:sz w:val="28"/>
          <w:szCs w:val="22"/>
          <w:u w:val="single"/>
          <w:lang w:val="en-GB"/>
        </w:rPr>
      </w:pPr>
    </w:p>
    <w:p w14:paraId="1FE67C75" w14:textId="6DFA430E" w:rsidR="00E3289C" w:rsidRPr="00CF6C7A" w:rsidRDefault="00E3289C" w:rsidP="00D60EFC">
      <w:pPr>
        <w:pStyle w:val="BodyText"/>
        <w:widowControl w:val="0"/>
        <w:numPr>
          <w:ilvl w:val="0"/>
          <w:numId w:val="6"/>
        </w:numPr>
        <w:ind w:left="709" w:hanging="709"/>
        <w:rPr>
          <w:b/>
          <w:sz w:val="28"/>
          <w:szCs w:val="22"/>
          <w:u w:val="single"/>
          <w:lang w:val="en-GB"/>
        </w:rPr>
      </w:pPr>
      <w:r w:rsidRPr="00CF6C7A">
        <w:rPr>
          <w:b/>
          <w:sz w:val="28"/>
          <w:szCs w:val="22"/>
          <w:u w:val="single"/>
          <w:lang w:val="en-GB"/>
        </w:rPr>
        <w:t>Background</w:t>
      </w:r>
    </w:p>
    <w:p w14:paraId="68415251" w14:textId="77777777" w:rsidR="00E3289C" w:rsidRPr="006E4332" w:rsidRDefault="00E3289C" w:rsidP="00E3289C">
      <w:pPr>
        <w:widowControl w:val="0"/>
        <w:ind w:left="709"/>
        <w:jc w:val="both"/>
        <w:rPr>
          <w:rFonts w:ascii="Arial" w:hAnsi="Arial" w:cs="Arial"/>
        </w:rPr>
      </w:pPr>
    </w:p>
    <w:p w14:paraId="2CFFE803" w14:textId="77777777" w:rsidR="00E3289C" w:rsidRPr="006E4332" w:rsidRDefault="00E3289C" w:rsidP="00D60EFC">
      <w:pPr>
        <w:widowControl w:val="0"/>
        <w:numPr>
          <w:ilvl w:val="1"/>
          <w:numId w:val="6"/>
        </w:numPr>
        <w:ind w:left="709" w:hanging="709"/>
        <w:jc w:val="both"/>
        <w:rPr>
          <w:rFonts w:ascii="Arial" w:hAnsi="Arial" w:cs="Arial"/>
        </w:rPr>
      </w:pPr>
      <w:r w:rsidRPr="006E4332">
        <w:rPr>
          <w:rFonts w:ascii="Arial" w:hAnsi="Arial" w:cs="Arial"/>
        </w:rPr>
        <w:t xml:space="preserve">The Council is required to operate a balanced budget, which broadly means that cash raised during the year will meet cash expenditure. A primary function of the treasury management operation is to ensure that this cash flow is adequately planned, with cash being available when it is needed. Surplus monies are invested in </w:t>
      </w:r>
      <w:proofErr w:type="gramStart"/>
      <w:r w:rsidRPr="006E4332">
        <w:rPr>
          <w:rFonts w:ascii="Arial" w:hAnsi="Arial" w:cs="Arial"/>
        </w:rPr>
        <w:t>low risk</w:t>
      </w:r>
      <w:proofErr w:type="gramEnd"/>
      <w:r w:rsidRPr="006E4332">
        <w:rPr>
          <w:rFonts w:ascii="Arial" w:hAnsi="Arial" w:cs="Arial"/>
        </w:rPr>
        <w:t xml:space="preserve"> counterparties or instruments commensurate with the Council’s low risk appetite, providing adequate liquidity initially before considering investment return.</w:t>
      </w:r>
    </w:p>
    <w:p w14:paraId="707474DB" w14:textId="77777777" w:rsidR="00E3289C" w:rsidRPr="006E4332" w:rsidRDefault="00E3289C" w:rsidP="00E3289C">
      <w:pPr>
        <w:widowControl w:val="0"/>
        <w:tabs>
          <w:tab w:val="left" w:pos="0"/>
        </w:tabs>
        <w:jc w:val="both"/>
        <w:rPr>
          <w:rFonts w:ascii="Arial" w:hAnsi="Arial" w:cs="Arial"/>
        </w:rPr>
      </w:pPr>
    </w:p>
    <w:p w14:paraId="3EB3F77C" w14:textId="77777777" w:rsidR="00E3289C" w:rsidRPr="006E4332" w:rsidRDefault="00E3289C" w:rsidP="00D60EFC">
      <w:pPr>
        <w:widowControl w:val="0"/>
        <w:numPr>
          <w:ilvl w:val="1"/>
          <w:numId w:val="6"/>
        </w:numPr>
        <w:ind w:left="709" w:hanging="709"/>
        <w:jc w:val="both"/>
        <w:rPr>
          <w:rFonts w:ascii="Arial" w:hAnsi="Arial" w:cs="Arial"/>
        </w:rPr>
      </w:pPr>
      <w:r w:rsidRPr="006E4332">
        <w:rPr>
          <w:rFonts w:ascii="Arial" w:hAnsi="Arial" w:cs="Arial"/>
        </w:rPr>
        <w:t xml:space="preserve">The second main function of the treasury management service is the funding of the Council’s capital plans. These capital plans provide a guide to the borrowing need of the Council, essentially the longer-term cash flow planning, to ensure that the Council can meet its capital spending obligations. This management of longer-term cash may involve arranging long or short-term </w:t>
      </w:r>
      <w:proofErr w:type="gramStart"/>
      <w:r w:rsidRPr="006E4332">
        <w:rPr>
          <w:rFonts w:ascii="Arial" w:hAnsi="Arial" w:cs="Arial"/>
        </w:rPr>
        <w:t>loans, or</w:t>
      </w:r>
      <w:proofErr w:type="gramEnd"/>
      <w:r w:rsidRPr="006E4332">
        <w:rPr>
          <w:rFonts w:ascii="Arial" w:hAnsi="Arial" w:cs="Arial"/>
        </w:rPr>
        <w:t xml:space="preserve"> using longer-term cash flow surpluses.</w:t>
      </w:r>
    </w:p>
    <w:p w14:paraId="192A28B1" w14:textId="77777777" w:rsidR="00E3289C" w:rsidRPr="006E4332" w:rsidRDefault="00E3289C" w:rsidP="00E3289C">
      <w:pPr>
        <w:pStyle w:val="ListParagraph"/>
        <w:rPr>
          <w:rFonts w:ascii="Arial" w:hAnsi="Arial" w:cs="Arial"/>
        </w:rPr>
      </w:pPr>
    </w:p>
    <w:p w14:paraId="0167BD36" w14:textId="77777777" w:rsidR="00E3289C" w:rsidRPr="006E4332" w:rsidRDefault="00E3289C" w:rsidP="00D60EFC">
      <w:pPr>
        <w:widowControl w:val="0"/>
        <w:numPr>
          <w:ilvl w:val="1"/>
          <w:numId w:val="6"/>
        </w:numPr>
        <w:ind w:left="709" w:hanging="709"/>
        <w:jc w:val="both"/>
        <w:rPr>
          <w:rFonts w:ascii="Arial" w:hAnsi="Arial" w:cs="Arial"/>
        </w:rPr>
      </w:pPr>
      <w:r w:rsidRPr="006E4332">
        <w:rPr>
          <w:rFonts w:ascii="Arial" w:hAnsi="Arial" w:cs="Arial"/>
        </w:rPr>
        <w:t>The contribution the treasury management function makes to the Authority is critical, as the investment operations ensure liquidity or the ability to meet spending commitments as they fall due, either on day-to-day revenue or for larger capital projects.  The treasury operations will see investment income arising from cash deposits affecting the available budget.  Since cash balances generally result from reserves and balances, it is paramount to ensure adequate security of the sums invested, as a loss of principal will in effect result in a loss to the General Fund Balance.</w:t>
      </w:r>
    </w:p>
    <w:p w14:paraId="03D268DC" w14:textId="77777777" w:rsidR="00E3289C" w:rsidRPr="006E4332" w:rsidRDefault="00E3289C" w:rsidP="00E3289C">
      <w:pPr>
        <w:pStyle w:val="ListParagraph"/>
        <w:rPr>
          <w:rFonts w:ascii="Arial" w:hAnsi="Arial" w:cs="Arial"/>
        </w:rPr>
      </w:pPr>
    </w:p>
    <w:p w14:paraId="3A0D61CB" w14:textId="77777777" w:rsidR="00E3289C" w:rsidRPr="006E4332" w:rsidRDefault="00E3289C" w:rsidP="00D60EFC">
      <w:pPr>
        <w:widowControl w:val="0"/>
        <w:numPr>
          <w:ilvl w:val="1"/>
          <w:numId w:val="6"/>
        </w:numPr>
        <w:ind w:left="709" w:hanging="709"/>
        <w:jc w:val="both"/>
        <w:rPr>
          <w:rFonts w:ascii="Arial" w:hAnsi="Arial" w:cs="Arial"/>
        </w:rPr>
      </w:pPr>
      <w:r w:rsidRPr="006E4332">
        <w:rPr>
          <w:rFonts w:ascii="Arial" w:hAnsi="Arial" w:cs="Arial"/>
        </w:rPr>
        <w:t>CIPFA defines treasury management as:</w:t>
      </w:r>
    </w:p>
    <w:p w14:paraId="2E6D6B9E" w14:textId="77777777" w:rsidR="00E3289C" w:rsidRPr="006E4332" w:rsidRDefault="00E3289C" w:rsidP="00E3289C">
      <w:pPr>
        <w:widowControl w:val="0"/>
        <w:ind w:left="709"/>
        <w:jc w:val="both"/>
        <w:rPr>
          <w:rFonts w:ascii="Arial" w:hAnsi="Arial" w:cs="Arial"/>
          <w:i/>
        </w:rPr>
      </w:pPr>
    </w:p>
    <w:p w14:paraId="36C64FD6" w14:textId="77777777" w:rsidR="00E3289C" w:rsidRDefault="00E3289C" w:rsidP="00E3289C">
      <w:pPr>
        <w:widowControl w:val="0"/>
        <w:ind w:left="709"/>
        <w:jc w:val="both"/>
        <w:rPr>
          <w:rFonts w:ascii="Arial" w:hAnsi="Arial" w:cs="Arial"/>
          <w:i/>
        </w:rPr>
      </w:pPr>
      <w:r w:rsidRPr="006E4332">
        <w:rPr>
          <w:rFonts w:ascii="Arial" w:hAnsi="Arial" w:cs="Arial"/>
          <w:i/>
        </w:rPr>
        <w:t>“The management of the local authority’s investments and cash flows, its banking, money market and capital market transactions; the effective control of the risks associated with those activities; and the pursuit of optimum performance consistent with those risks.”</w:t>
      </w:r>
    </w:p>
    <w:p w14:paraId="7D5B2E75" w14:textId="77777777" w:rsidR="00E3289C" w:rsidRPr="00082440" w:rsidRDefault="00E3289C" w:rsidP="00E3289C">
      <w:pPr>
        <w:widowControl w:val="0"/>
        <w:jc w:val="both"/>
        <w:rPr>
          <w:rFonts w:ascii="Arial" w:hAnsi="Arial" w:cs="Arial"/>
        </w:rPr>
      </w:pPr>
    </w:p>
    <w:p w14:paraId="2E123651" w14:textId="77777777" w:rsidR="00E3289C" w:rsidRPr="006F269E" w:rsidRDefault="00E3289C" w:rsidP="00082440">
      <w:pPr>
        <w:widowControl w:val="0"/>
        <w:numPr>
          <w:ilvl w:val="1"/>
          <w:numId w:val="6"/>
        </w:numPr>
        <w:ind w:left="709" w:hanging="709"/>
        <w:jc w:val="both"/>
        <w:rPr>
          <w:rFonts w:ascii="Arial" w:hAnsi="Arial" w:cs="Arial"/>
        </w:rPr>
      </w:pPr>
      <w:r w:rsidRPr="006F269E">
        <w:rPr>
          <w:rFonts w:ascii="Arial" w:hAnsi="Arial" w:cs="Arial"/>
        </w:rPr>
        <w:t>Whilst any commercial initiatives or loans to third parties will impact on the treasury function, these activities are generally classed as non-treasury activities, (arising usually from capital expenditure), and are separate from the day-to-day treasury management activities.</w:t>
      </w:r>
    </w:p>
    <w:p w14:paraId="0BBA85FD" w14:textId="77777777" w:rsidR="00E3289C" w:rsidRPr="006E4332" w:rsidRDefault="00E3289C" w:rsidP="00E3289C">
      <w:pPr>
        <w:widowControl w:val="0"/>
        <w:jc w:val="both"/>
        <w:rPr>
          <w:rFonts w:ascii="Arial" w:hAnsi="Arial" w:cs="Arial"/>
        </w:rPr>
      </w:pPr>
    </w:p>
    <w:p w14:paraId="0DB2F61B" w14:textId="77777777" w:rsidR="00E3289C" w:rsidRPr="006E4332" w:rsidRDefault="00E3289C" w:rsidP="00D60EFC">
      <w:pPr>
        <w:widowControl w:val="0"/>
        <w:numPr>
          <w:ilvl w:val="1"/>
          <w:numId w:val="6"/>
        </w:numPr>
        <w:ind w:left="709" w:hanging="709"/>
        <w:jc w:val="both"/>
        <w:rPr>
          <w:rFonts w:ascii="Arial" w:hAnsi="Arial" w:cs="Arial"/>
        </w:rPr>
      </w:pPr>
      <w:r w:rsidRPr="006E4332">
        <w:rPr>
          <w:rFonts w:ascii="Arial" w:hAnsi="Arial" w:cs="Arial"/>
        </w:rPr>
        <w:t>This strategy includes views on interest rates and leading market forecasts provided by the Council’s treasury advisor,</w:t>
      </w:r>
      <w:r>
        <w:rPr>
          <w:rFonts w:ascii="Arial" w:hAnsi="Arial" w:cs="Arial"/>
        </w:rPr>
        <w:t xml:space="preserve"> MUFG Corporate Markets</w:t>
      </w:r>
      <w:r w:rsidRPr="006E4332">
        <w:rPr>
          <w:rFonts w:ascii="Arial" w:hAnsi="Arial" w:cs="Arial"/>
        </w:rPr>
        <w:t>.</w:t>
      </w:r>
    </w:p>
    <w:p w14:paraId="25983051" w14:textId="77777777" w:rsidR="00E3289C" w:rsidRPr="006E4332" w:rsidRDefault="00E3289C" w:rsidP="00E3289C">
      <w:pPr>
        <w:widowControl w:val="0"/>
        <w:rPr>
          <w:rFonts w:ascii="Arial" w:hAnsi="Arial" w:cs="Arial"/>
          <w:b/>
          <w:sz w:val="28"/>
          <w:szCs w:val="28"/>
          <w:u w:val="single"/>
        </w:rPr>
      </w:pPr>
    </w:p>
    <w:p w14:paraId="5A826A57" w14:textId="77777777" w:rsidR="00E3289C" w:rsidRPr="006E4332" w:rsidRDefault="00E3289C" w:rsidP="00E3289C">
      <w:pPr>
        <w:widowControl w:val="0"/>
        <w:rPr>
          <w:rFonts w:ascii="Arial" w:hAnsi="Arial" w:cs="Arial"/>
          <w:b/>
          <w:sz w:val="28"/>
          <w:szCs w:val="28"/>
          <w:u w:val="single"/>
        </w:rPr>
      </w:pPr>
    </w:p>
    <w:p w14:paraId="5836806B" w14:textId="77777777" w:rsidR="00E3289C" w:rsidRDefault="00E3289C" w:rsidP="00082440">
      <w:pPr>
        <w:keepNext/>
        <w:widowControl w:val="0"/>
        <w:numPr>
          <w:ilvl w:val="0"/>
          <w:numId w:val="15"/>
        </w:numPr>
        <w:ind w:left="709" w:hanging="709"/>
        <w:rPr>
          <w:rFonts w:ascii="Arial" w:hAnsi="Arial" w:cs="Arial"/>
          <w:b/>
          <w:sz w:val="28"/>
          <w:szCs w:val="28"/>
          <w:u w:val="single"/>
        </w:rPr>
      </w:pPr>
      <w:r w:rsidRPr="006E4332">
        <w:rPr>
          <w:rFonts w:ascii="Arial" w:hAnsi="Arial" w:cs="Arial"/>
          <w:b/>
          <w:sz w:val="28"/>
          <w:szCs w:val="28"/>
          <w:u w:val="single"/>
        </w:rPr>
        <w:lastRenderedPageBreak/>
        <w:t>Reporting Requirements</w:t>
      </w:r>
    </w:p>
    <w:p w14:paraId="3DE96987" w14:textId="77777777" w:rsidR="00E3289C" w:rsidRPr="006E4332" w:rsidRDefault="00E3289C" w:rsidP="00E3289C">
      <w:pPr>
        <w:widowControl w:val="0"/>
        <w:rPr>
          <w:rFonts w:ascii="Arial" w:hAnsi="Arial" w:cs="Arial"/>
          <w:b/>
        </w:rPr>
      </w:pPr>
    </w:p>
    <w:p w14:paraId="3E824605" w14:textId="77777777" w:rsidR="00E3289C" w:rsidRPr="00CF6C7A" w:rsidRDefault="00E3289C" w:rsidP="00D60EFC">
      <w:pPr>
        <w:pStyle w:val="ListParagraph"/>
        <w:widowControl w:val="0"/>
        <w:numPr>
          <w:ilvl w:val="1"/>
          <w:numId w:val="20"/>
        </w:numPr>
        <w:rPr>
          <w:rFonts w:ascii="Arial" w:hAnsi="Arial" w:cs="Arial"/>
          <w:b/>
          <w:sz w:val="28"/>
          <w:szCs w:val="28"/>
          <w:u w:val="single"/>
        </w:rPr>
      </w:pPr>
      <w:r w:rsidRPr="00CF6C7A">
        <w:rPr>
          <w:rFonts w:ascii="Arial" w:hAnsi="Arial" w:cs="Arial"/>
        </w:rPr>
        <w:t xml:space="preserve">The CIPFA 2021 Prudential and Treasury Management Codes require all local authorities to prepare a Capital Strategy report which will provide the following: </w:t>
      </w:r>
    </w:p>
    <w:p w14:paraId="70FCDB9B" w14:textId="77777777" w:rsidR="00E3289C" w:rsidRPr="006E4332" w:rsidRDefault="00E3289C" w:rsidP="00082440">
      <w:pPr>
        <w:pStyle w:val="BodyText"/>
        <w:numPr>
          <w:ilvl w:val="0"/>
          <w:numId w:val="17"/>
        </w:numPr>
        <w:spacing w:before="120"/>
        <w:ind w:left="1418" w:hanging="567"/>
        <w:rPr>
          <w:szCs w:val="24"/>
        </w:rPr>
      </w:pPr>
      <w:r w:rsidRPr="006E4332">
        <w:rPr>
          <w:szCs w:val="24"/>
          <w:lang w:val="en-GB"/>
        </w:rPr>
        <w:t xml:space="preserve">a high-level long-term overview of how capital expenditure, </w:t>
      </w:r>
      <w:proofErr w:type="gramStart"/>
      <w:r w:rsidRPr="006E4332">
        <w:rPr>
          <w:szCs w:val="24"/>
          <w:lang w:val="en-GB"/>
        </w:rPr>
        <w:t>capital  financing</w:t>
      </w:r>
      <w:proofErr w:type="gramEnd"/>
      <w:r w:rsidRPr="006E4332">
        <w:rPr>
          <w:szCs w:val="24"/>
          <w:lang w:val="en-GB"/>
        </w:rPr>
        <w:t xml:space="preserve"> and treasury management activity contribute to the provision of services</w:t>
      </w:r>
    </w:p>
    <w:p w14:paraId="2F81ADDD" w14:textId="77777777" w:rsidR="00E3289C" w:rsidRPr="005773AA" w:rsidRDefault="00E3289C" w:rsidP="00082440">
      <w:pPr>
        <w:pStyle w:val="BodyText"/>
        <w:numPr>
          <w:ilvl w:val="0"/>
          <w:numId w:val="17"/>
        </w:numPr>
        <w:spacing w:before="120"/>
        <w:ind w:left="714" w:firstLine="137"/>
        <w:rPr>
          <w:szCs w:val="24"/>
        </w:rPr>
      </w:pPr>
      <w:r w:rsidRPr="006E4332">
        <w:rPr>
          <w:szCs w:val="24"/>
          <w:lang w:val="en-GB"/>
        </w:rPr>
        <w:t>an overview of how the assoc</w:t>
      </w:r>
      <w:r w:rsidRPr="005773AA">
        <w:rPr>
          <w:szCs w:val="24"/>
          <w:lang w:val="en-GB"/>
        </w:rPr>
        <w:t>iated risk is managed</w:t>
      </w:r>
    </w:p>
    <w:p w14:paraId="1CF7C823" w14:textId="77777777" w:rsidR="00E3289C" w:rsidRPr="005773AA" w:rsidRDefault="00E3289C" w:rsidP="00082440">
      <w:pPr>
        <w:pStyle w:val="BodyText"/>
        <w:numPr>
          <w:ilvl w:val="0"/>
          <w:numId w:val="17"/>
        </w:numPr>
        <w:spacing w:before="120"/>
        <w:ind w:left="714" w:firstLine="137"/>
        <w:rPr>
          <w:szCs w:val="24"/>
        </w:rPr>
      </w:pPr>
      <w:r w:rsidRPr="005773AA">
        <w:rPr>
          <w:szCs w:val="24"/>
          <w:lang w:val="en-GB"/>
        </w:rPr>
        <w:t>the implications for future financial sustainability</w:t>
      </w:r>
    </w:p>
    <w:p w14:paraId="68C599D0" w14:textId="77777777" w:rsidR="00E3289C" w:rsidRPr="005773AA" w:rsidRDefault="00E3289C" w:rsidP="00E3289C">
      <w:pPr>
        <w:pStyle w:val="BodyText"/>
        <w:rPr>
          <w:szCs w:val="24"/>
          <w:lang w:val="en-GB"/>
        </w:rPr>
      </w:pPr>
    </w:p>
    <w:p w14:paraId="7FAABC1E" w14:textId="05A65AC7" w:rsidR="00E3289C" w:rsidRDefault="00E3289C" w:rsidP="00D60EFC">
      <w:pPr>
        <w:pStyle w:val="ListParagraph"/>
        <w:widowControl w:val="0"/>
        <w:numPr>
          <w:ilvl w:val="1"/>
          <w:numId w:val="20"/>
        </w:numPr>
        <w:rPr>
          <w:rFonts w:ascii="Arial" w:hAnsi="Arial" w:cs="Arial"/>
        </w:rPr>
      </w:pPr>
      <w:r w:rsidRPr="0027487D">
        <w:rPr>
          <w:rFonts w:ascii="Arial" w:hAnsi="Arial" w:cs="Arial"/>
        </w:rPr>
        <w:t xml:space="preserve">The aim of the </w:t>
      </w:r>
      <w:r w:rsidR="00082440">
        <w:rPr>
          <w:rFonts w:ascii="Arial" w:hAnsi="Arial" w:cs="Arial"/>
        </w:rPr>
        <w:t>Capital S</w:t>
      </w:r>
      <w:r w:rsidRPr="0027487D">
        <w:rPr>
          <w:rFonts w:ascii="Arial" w:hAnsi="Arial" w:cs="Arial"/>
        </w:rPr>
        <w:t>trategy is to ensure that all the Authority’s elected members fully understand the overall long-term policy objectives and resulting Capital Strategy requirements, governance procedures and risk appetite.</w:t>
      </w:r>
    </w:p>
    <w:p w14:paraId="244ACC15" w14:textId="77777777" w:rsidR="00082440" w:rsidRDefault="00082440" w:rsidP="00082440">
      <w:pPr>
        <w:pStyle w:val="ListParagraph"/>
        <w:widowControl w:val="0"/>
        <w:rPr>
          <w:rFonts w:ascii="Arial" w:hAnsi="Arial" w:cs="Arial"/>
        </w:rPr>
      </w:pPr>
    </w:p>
    <w:p w14:paraId="59F5493A" w14:textId="5ED81FDA" w:rsidR="00082440" w:rsidRPr="0027487D" w:rsidRDefault="00082440" w:rsidP="00D60EFC">
      <w:pPr>
        <w:pStyle w:val="ListParagraph"/>
        <w:widowControl w:val="0"/>
        <w:numPr>
          <w:ilvl w:val="1"/>
          <w:numId w:val="20"/>
        </w:numPr>
        <w:rPr>
          <w:rFonts w:ascii="Arial" w:hAnsi="Arial" w:cs="Arial"/>
        </w:rPr>
      </w:pPr>
      <w:r>
        <w:rPr>
          <w:rFonts w:ascii="Arial" w:hAnsi="Arial" w:cs="Arial"/>
        </w:rPr>
        <w:t>The Capital Strategy is reviewed, updated and approved annually as part of the Capital Budget process.</w:t>
      </w:r>
    </w:p>
    <w:p w14:paraId="53FFB8E4" w14:textId="77777777" w:rsidR="00E3289C" w:rsidRDefault="00E3289C" w:rsidP="00E3289C">
      <w:pPr>
        <w:pStyle w:val="BodyText"/>
        <w:ind w:left="716"/>
        <w:rPr>
          <w:szCs w:val="24"/>
          <w:lang w:val="en-GB"/>
        </w:rPr>
      </w:pPr>
    </w:p>
    <w:p w14:paraId="1464F58C" w14:textId="77777777" w:rsidR="00E3289C" w:rsidRPr="00B565DE" w:rsidRDefault="00E3289C" w:rsidP="00D60EFC">
      <w:pPr>
        <w:pStyle w:val="BodyText"/>
        <w:numPr>
          <w:ilvl w:val="1"/>
          <w:numId w:val="20"/>
        </w:numPr>
        <w:rPr>
          <w:szCs w:val="24"/>
          <w:lang w:val="en-GB"/>
        </w:rPr>
      </w:pPr>
      <w:r w:rsidRPr="00BD6FA3">
        <w:rPr>
          <w:szCs w:val="24"/>
          <w:u w:val="single"/>
          <w:lang w:val="en-GB"/>
        </w:rPr>
        <w:t>Treasury Management Strategy</w:t>
      </w:r>
      <w:r>
        <w:rPr>
          <w:szCs w:val="24"/>
          <w:lang w:val="en-GB"/>
        </w:rPr>
        <w:t>:</w:t>
      </w:r>
      <w:r w:rsidRPr="00BD6FA3">
        <w:rPr>
          <w:szCs w:val="24"/>
          <w:lang w:val="en-GB"/>
        </w:rPr>
        <w:t xml:space="preserve"> The Authority is currently required to receive and approve, as a minimum, three main treasury reports each year, which </w:t>
      </w:r>
      <w:r w:rsidRPr="00B565DE">
        <w:rPr>
          <w:szCs w:val="24"/>
          <w:lang w:val="en-GB"/>
        </w:rPr>
        <w:t xml:space="preserve">incorporate a variety of policies, estimates and actuals.  </w:t>
      </w:r>
    </w:p>
    <w:p w14:paraId="002CB2DC" w14:textId="77777777" w:rsidR="00E3289C" w:rsidRPr="00B565DE" w:rsidRDefault="00E3289C" w:rsidP="00E3289C">
      <w:pPr>
        <w:pStyle w:val="BodyText"/>
        <w:rPr>
          <w:szCs w:val="24"/>
          <w:lang w:val="en-GB"/>
        </w:rPr>
      </w:pPr>
    </w:p>
    <w:p w14:paraId="4DD661D6" w14:textId="77777777" w:rsidR="00E3289C" w:rsidRDefault="00E3289C" w:rsidP="00D60EFC">
      <w:pPr>
        <w:widowControl w:val="0"/>
        <w:numPr>
          <w:ilvl w:val="1"/>
          <w:numId w:val="20"/>
        </w:numPr>
        <w:ind w:left="709" w:hanging="709"/>
        <w:jc w:val="both"/>
        <w:rPr>
          <w:rFonts w:ascii="Arial" w:hAnsi="Arial" w:cs="Arial"/>
        </w:rPr>
      </w:pPr>
      <w:r w:rsidRPr="00B565DE">
        <w:rPr>
          <w:rFonts w:ascii="Arial" w:hAnsi="Arial" w:cs="Arial"/>
        </w:rPr>
        <w:t xml:space="preserve">Since 2016/17, the Audit Committee is the nominated body responsible for ensuring effective scrutiny of the Treasury Management Strategy and policies and receives reports as set out </w:t>
      </w:r>
      <w:r w:rsidRPr="006E4332">
        <w:rPr>
          <w:rFonts w:ascii="Arial" w:hAnsi="Arial" w:cs="Arial"/>
        </w:rPr>
        <w:t>in paragraph 3.</w:t>
      </w:r>
      <w:r>
        <w:rPr>
          <w:rFonts w:ascii="Arial" w:hAnsi="Arial" w:cs="Arial"/>
        </w:rPr>
        <w:t>6</w:t>
      </w:r>
      <w:r w:rsidRPr="006E4332">
        <w:rPr>
          <w:rFonts w:ascii="Arial" w:hAnsi="Arial" w:cs="Arial"/>
        </w:rPr>
        <w:t xml:space="preserve"> below.</w:t>
      </w:r>
    </w:p>
    <w:p w14:paraId="34742643" w14:textId="77777777" w:rsidR="00E3289C" w:rsidRDefault="00E3289C" w:rsidP="00E3289C">
      <w:pPr>
        <w:pStyle w:val="ListParagraph"/>
        <w:rPr>
          <w:rFonts w:ascii="Arial" w:hAnsi="Arial" w:cs="Arial"/>
        </w:rPr>
      </w:pPr>
    </w:p>
    <w:p w14:paraId="66ECA032" w14:textId="77777777" w:rsidR="00E3289C" w:rsidRPr="003C37B7" w:rsidRDefault="00E3289C" w:rsidP="00D60EFC">
      <w:pPr>
        <w:pStyle w:val="BodyText"/>
        <w:numPr>
          <w:ilvl w:val="0"/>
          <w:numId w:val="18"/>
        </w:numPr>
        <w:rPr>
          <w:szCs w:val="24"/>
          <w:lang w:val="en-GB"/>
        </w:rPr>
      </w:pPr>
      <w:r w:rsidRPr="003C37B7">
        <w:rPr>
          <w:szCs w:val="24"/>
          <w:lang w:val="en-GB"/>
        </w:rPr>
        <w:t>Prudential and treasury indicators and treasury strategy (this report) - The first, and most important report is forward looking and covers: -</w:t>
      </w:r>
    </w:p>
    <w:p w14:paraId="1ECA7F6C" w14:textId="77777777" w:rsidR="00E3289C" w:rsidRPr="003C37B7" w:rsidRDefault="00E3289C" w:rsidP="00082440">
      <w:pPr>
        <w:pStyle w:val="ListParagraph"/>
        <w:numPr>
          <w:ilvl w:val="0"/>
          <w:numId w:val="16"/>
        </w:numPr>
        <w:spacing w:before="120"/>
        <w:ind w:left="1843" w:hanging="425"/>
        <w:jc w:val="both"/>
        <w:rPr>
          <w:rFonts w:ascii="Arial" w:hAnsi="Arial" w:cs="Arial"/>
        </w:rPr>
      </w:pPr>
      <w:r w:rsidRPr="003C37B7">
        <w:rPr>
          <w:rFonts w:ascii="Arial" w:hAnsi="Arial" w:cs="Arial"/>
        </w:rPr>
        <w:t>the capital plans, (including prudential indicators)</w:t>
      </w:r>
    </w:p>
    <w:p w14:paraId="5987233B" w14:textId="77777777" w:rsidR="00E3289C" w:rsidRPr="003C37B7" w:rsidRDefault="00E3289C" w:rsidP="00082440">
      <w:pPr>
        <w:pStyle w:val="ListParagraph"/>
        <w:numPr>
          <w:ilvl w:val="0"/>
          <w:numId w:val="16"/>
        </w:numPr>
        <w:spacing w:before="120"/>
        <w:ind w:left="1843" w:hanging="425"/>
        <w:jc w:val="both"/>
        <w:rPr>
          <w:rFonts w:ascii="Arial" w:hAnsi="Arial" w:cs="Arial"/>
        </w:rPr>
      </w:pPr>
      <w:r w:rsidRPr="003C37B7">
        <w:rPr>
          <w:rFonts w:ascii="Arial" w:hAnsi="Arial" w:cs="Arial"/>
        </w:rPr>
        <w:t>a minimum revenue provision (MRP) policy, (how residual capital expenditure is charged to revenue over time)</w:t>
      </w:r>
    </w:p>
    <w:p w14:paraId="305F75D6" w14:textId="77777777" w:rsidR="00E3289C" w:rsidRPr="003C37B7" w:rsidRDefault="00E3289C" w:rsidP="00082440">
      <w:pPr>
        <w:pStyle w:val="ListParagraph"/>
        <w:numPr>
          <w:ilvl w:val="0"/>
          <w:numId w:val="16"/>
        </w:numPr>
        <w:spacing w:before="120"/>
        <w:ind w:left="1843" w:hanging="425"/>
        <w:jc w:val="both"/>
        <w:rPr>
          <w:rFonts w:ascii="Arial" w:hAnsi="Arial" w:cs="Arial"/>
        </w:rPr>
      </w:pPr>
      <w:r w:rsidRPr="003C37B7">
        <w:rPr>
          <w:rFonts w:ascii="Arial" w:hAnsi="Arial" w:cs="Arial"/>
        </w:rPr>
        <w:t xml:space="preserve">the Treasury Management Strategy, (how the investments and borrowings are to be organised), including treasury indicators; and </w:t>
      </w:r>
    </w:p>
    <w:p w14:paraId="59385FB1" w14:textId="77777777" w:rsidR="00E3289C" w:rsidRPr="003C37B7" w:rsidRDefault="00E3289C" w:rsidP="00082440">
      <w:pPr>
        <w:pStyle w:val="ListParagraph"/>
        <w:numPr>
          <w:ilvl w:val="0"/>
          <w:numId w:val="16"/>
        </w:numPr>
        <w:spacing w:before="120"/>
        <w:ind w:left="1843" w:hanging="425"/>
        <w:jc w:val="both"/>
        <w:rPr>
          <w:rFonts w:ascii="Arial" w:hAnsi="Arial" w:cs="Arial"/>
        </w:rPr>
      </w:pPr>
      <w:r w:rsidRPr="003C37B7">
        <w:rPr>
          <w:rFonts w:ascii="Arial" w:hAnsi="Arial" w:cs="Arial"/>
        </w:rPr>
        <w:t>an Annual Investment Strategy, (the parameters on how investments are to be managed)</w:t>
      </w:r>
    </w:p>
    <w:p w14:paraId="62BBF80B" w14:textId="77777777" w:rsidR="00E3289C" w:rsidRPr="003C37B7" w:rsidRDefault="00E3289C" w:rsidP="00E3289C">
      <w:pPr>
        <w:pStyle w:val="BodyText"/>
        <w:rPr>
          <w:szCs w:val="24"/>
          <w:lang w:val="en-GB"/>
        </w:rPr>
      </w:pPr>
    </w:p>
    <w:p w14:paraId="6027A9AB" w14:textId="77777777" w:rsidR="00E3289C" w:rsidRPr="003C37B7" w:rsidRDefault="00E3289C" w:rsidP="00D60EFC">
      <w:pPr>
        <w:pStyle w:val="BodyText"/>
        <w:numPr>
          <w:ilvl w:val="0"/>
          <w:numId w:val="18"/>
        </w:numPr>
        <w:rPr>
          <w:szCs w:val="24"/>
          <w:lang w:val="en-GB"/>
        </w:rPr>
      </w:pPr>
      <w:r w:rsidRPr="003C37B7">
        <w:rPr>
          <w:szCs w:val="24"/>
          <w:lang w:val="en-GB"/>
        </w:rPr>
        <w:t>A mid-year treasury management report – This is primarily a progress report and will update members on the capital position, amending prudential indicators as necessary, and whether any policies require revision.  In addition, this Authority will receive quarterly update reports.</w:t>
      </w:r>
    </w:p>
    <w:p w14:paraId="6CA4DFA2" w14:textId="77777777" w:rsidR="00E3289C" w:rsidRPr="003C37B7" w:rsidRDefault="00E3289C" w:rsidP="00E3289C">
      <w:pPr>
        <w:pStyle w:val="BodyText"/>
        <w:rPr>
          <w:szCs w:val="24"/>
          <w:lang w:val="en-GB"/>
        </w:rPr>
      </w:pPr>
    </w:p>
    <w:p w14:paraId="0C2433E1" w14:textId="77777777" w:rsidR="00E3289C" w:rsidRPr="003C37B7" w:rsidRDefault="00E3289C" w:rsidP="00D60EFC">
      <w:pPr>
        <w:pStyle w:val="BodyText"/>
        <w:numPr>
          <w:ilvl w:val="0"/>
          <w:numId w:val="18"/>
        </w:numPr>
        <w:rPr>
          <w:szCs w:val="24"/>
          <w:lang w:val="en-GB"/>
        </w:rPr>
      </w:pPr>
      <w:r w:rsidRPr="003C37B7">
        <w:rPr>
          <w:szCs w:val="24"/>
          <w:lang w:val="en-GB"/>
        </w:rPr>
        <w:t>An annual treasury report – This is a backward-looking review document and provides details of a selection of actual prudential and treasury indicators and actual treasury operations compared to the estimates within the strategy.</w:t>
      </w:r>
    </w:p>
    <w:p w14:paraId="63E6F31C" w14:textId="77777777" w:rsidR="00E3289C" w:rsidRDefault="00E3289C" w:rsidP="00E3289C">
      <w:pPr>
        <w:pStyle w:val="ListParagraph"/>
        <w:rPr>
          <w:rFonts w:ascii="Arial" w:hAnsi="Arial" w:cs="Arial"/>
        </w:rPr>
      </w:pPr>
    </w:p>
    <w:p w14:paraId="2E09781A" w14:textId="77777777" w:rsidR="00E3289C" w:rsidRPr="00B565DE" w:rsidRDefault="00E3289C" w:rsidP="00D60EFC">
      <w:pPr>
        <w:widowControl w:val="0"/>
        <w:numPr>
          <w:ilvl w:val="1"/>
          <w:numId w:val="20"/>
        </w:numPr>
        <w:ind w:left="709" w:hanging="709"/>
        <w:jc w:val="both"/>
        <w:rPr>
          <w:rFonts w:ascii="Arial" w:hAnsi="Arial" w:cs="Arial"/>
        </w:rPr>
      </w:pPr>
      <w:r w:rsidRPr="00B565DE">
        <w:rPr>
          <w:rFonts w:ascii="Arial" w:hAnsi="Arial" w:cs="Arial"/>
        </w:rPr>
        <w:lastRenderedPageBreak/>
        <w:t xml:space="preserve">The Financial monitoring panel also receive quarterly monitoring reports detailing projected income forecasts, creditworthiness updates and operational changes to treasury activities. </w:t>
      </w:r>
    </w:p>
    <w:p w14:paraId="3C514BBF" w14:textId="77777777" w:rsidR="00E3289C" w:rsidRPr="00B565DE" w:rsidRDefault="00E3289C" w:rsidP="00E3289C">
      <w:pPr>
        <w:widowControl w:val="0"/>
        <w:tabs>
          <w:tab w:val="left" w:pos="0"/>
        </w:tabs>
        <w:jc w:val="both"/>
        <w:rPr>
          <w:rFonts w:ascii="Arial" w:hAnsi="Arial" w:cs="Arial"/>
        </w:rPr>
      </w:pPr>
    </w:p>
    <w:p w14:paraId="15D3B11C" w14:textId="77777777" w:rsidR="00E3289C" w:rsidRPr="00B565DE" w:rsidRDefault="00E3289C" w:rsidP="00D60EFC">
      <w:pPr>
        <w:widowControl w:val="0"/>
        <w:numPr>
          <w:ilvl w:val="1"/>
          <w:numId w:val="20"/>
        </w:numPr>
        <w:ind w:left="709" w:hanging="709"/>
        <w:jc w:val="both"/>
        <w:rPr>
          <w:rFonts w:ascii="Arial" w:hAnsi="Arial" w:cs="Arial"/>
        </w:rPr>
      </w:pPr>
      <w:r w:rsidRPr="00B565DE">
        <w:rPr>
          <w:rFonts w:ascii="Arial" w:hAnsi="Arial" w:cs="Arial"/>
        </w:rPr>
        <w:t>The aim of these reporting arrangements is to ensure that those with ultimate responsibility for the treasury management function understand fully the implications of treasury management policies and activities, and that those implementing policies and executing transactions have properly fulfilled their responsibilities with regard to delegation and reporting.</w:t>
      </w:r>
    </w:p>
    <w:p w14:paraId="753E4706" w14:textId="77777777" w:rsidR="00E3289C" w:rsidRPr="00B565DE" w:rsidRDefault="00E3289C" w:rsidP="00E3289C">
      <w:pPr>
        <w:pStyle w:val="ListParagraph"/>
        <w:widowControl w:val="0"/>
        <w:rPr>
          <w:rFonts w:ascii="Arial" w:hAnsi="Arial" w:cs="Arial"/>
        </w:rPr>
      </w:pPr>
    </w:p>
    <w:p w14:paraId="7137B8CC" w14:textId="77777777" w:rsidR="00E3289C" w:rsidRPr="003C37B7" w:rsidRDefault="00E3289C" w:rsidP="00D60EFC">
      <w:pPr>
        <w:widowControl w:val="0"/>
        <w:numPr>
          <w:ilvl w:val="1"/>
          <w:numId w:val="20"/>
        </w:numPr>
        <w:ind w:left="709" w:hanging="709"/>
        <w:jc w:val="both"/>
        <w:rPr>
          <w:rFonts w:ascii="Arial" w:hAnsi="Arial" w:cs="Arial"/>
        </w:rPr>
      </w:pPr>
      <w:r w:rsidRPr="00B565DE">
        <w:rPr>
          <w:rFonts w:ascii="Arial" w:hAnsi="Arial" w:cs="Arial"/>
        </w:rPr>
        <w:t>This Council has adopted the following reporting arrangements in accordance with the requirements of the revised Code:</w:t>
      </w:r>
    </w:p>
    <w:p w14:paraId="01B961A0" w14:textId="77777777" w:rsidR="00E3289C" w:rsidRPr="003C37B7" w:rsidRDefault="00E3289C" w:rsidP="00E3289C">
      <w:pPr>
        <w:widowControl w:val="0"/>
        <w:rPr>
          <w:rFonts w:ascii="Arial" w:hAnsi="Arial" w:cs="Arial"/>
        </w:rPr>
      </w:pPr>
    </w:p>
    <w:tbl>
      <w:tblPr>
        <w:tblW w:w="9087" w:type="dxa"/>
        <w:tblInd w:w="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029"/>
        <w:gridCol w:w="3029"/>
        <w:gridCol w:w="3029"/>
      </w:tblGrid>
      <w:tr w:rsidR="00E3289C" w:rsidRPr="0049601F" w14:paraId="1A577BB6" w14:textId="77777777" w:rsidTr="00E3289C">
        <w:trPr>
          <w:trHeight w:val="315"/>
        </w:trPr>
        <w:tc>
          <w:tcPr>
            <w:tcW w:w="3029" w:type="dxa"/>
            <w:noWrap/>
            <w:vAlign w:val="bottom"/>
            <w:hideMark/>
          </w:tcPr>
          <w:p w14:paraId="3FE2DFD0" w14:textId="77777777" w:rsidR="00E3289C" w:rsidRPr="002B631E" w:rsidRDefault="00E3289C" w:rsidP="00E3289C">
            <w:pPr>
              <w:widowControl w:val="0"/>
              <w:jc w:val="center"/>
              <w:rPr>
                <w:rFonts w:ascii="Arial" w:hAnsi="Arial" w:cs="Arial"/>
                <w:b/>
                <w:bCs/>
                <w:color w:val="000000"/>
                <w:sz w:val="22"/>
                <w:szCs w:val="22"/>
              </w:rPr>
            </w:pPr>
            <w:r w:rsidRPr="002B631E">
              <w:rPr>
                <w:rFonts w:ascii="Arial" w:hAnsi="Arial" w:cs="Arial"/>
                <w:b/>
                <w:bCs/>
                <w:color w:val="000000"/>
                <w:sz w:val="22"/>
                <w:szCs w:val="22"/>
              </w:rPr>
              <w:t>Report</w:t>
            </w:r>
          </w:p>
        </w:tc>
        <w:tc>
          <w:tcPr>
            <w:tcW w:w="3029" w:type="dxa"/>
            <w:noWrap/>
            <w:vAlign w:val="bottom"/>
            <w:hideMark/>
          </w:tcPr>
          <w:p w14:paraId="7DB0FA3D" w14:textId="77777777" w:rsidR="00E3289C" w:rsidRPr="002B631E" w:rsidRDefault="00E3289C" w:rsidP="00E3289C">
            <w:pPr>
              <w:widowControl w:val="0"/>
              <w:jc w:val="center"/>
              <w:rPr>
                <w:rFonts w:ascii="Arial" w:hAnsi="Arial" w:cs="Arial"/>
                <w:b/>
                <w:bCs/>
                <w:color w:val="000000"/>
                <w:sz w:val="22"/>
                <w:szCs w:val="22"/>
              </w:rPr>
            </w:pPr>
            <w:r w:rsidRPr="002B631E">
              <w:rPr>
                <w:rFonts w:ascii="Arial" w:hAnsi="Arial" w:cs="Arial"/>
                <w:b/>
                <w:bCs/>
                <w:color w:val="000000"/>
                <w:sz w:val="22"/>
                <w:szCs w:val="22"/>
              </w:rPr>
              <w:t xml:space="preserve">Committee </w:t>
            </w:r>
          </w:p>
        </w:tc>
        <w:tc>
          <w:tcPr>
            <w:tcW w:w="3029" w:type="dxa"/>
            <w:noWrap/>
            <w:vAlign w:val="bottom"/>
            <w:hideMark/>
          </w:tcPr>
          <w:p w14:paraId="097CF88A" w14:textId="77777777" w:rsidR="00E3289C" w:rsidRPr="002B631E" w:rsidRDefault="00E3289C" w:rsidP="00E3289C">
            <w:pPr>
              <w:widowControl w:val="0"/>
              <w:jc w:val="center"/>
              <w:rPr>
                <w:rFonts w:ascii="Arial" w:hAnsi="Arial" w:cs="Arial"/>
                <w:b/>
                <w:bCs/>
                <w:color w:val="000000"/>
                <w:sz w:val="22"/>
                <w:szCs w:val="22"/>
              </w:rPr>
            </w:pPr>
            <w:r w:rsidRPr="002B631E">
              <w:rPr>
                <w:rFonts w:ascii="Arial" w:hAnsi="Arial" w:cs="Arial"/>
                <w:b/>
                <w:bCs/>
                <w:color w:val="000000"/>
                <w:sz w:val="22"/>
                <w:szCs w:val="22"/>
              </w:rPr>
              <w:t xml:space="preserve">Frequency </w:t>
            </w:r>
          </w:p>
        </w:tc>
      </w:tr>
      <w:tr w:rsidR="00E3289C" w:rsidRPr="0049601F" w14:paraId="2EC3E964" w14:textId="77777777" w:rsidTr="00E3289C">
        <w:trPr>
          <w:trHeight w:val="606"/>
        </w:trPr>
        <w:tc>
          <w:tcPr>
            <w:tcW w:w="3029" w:type="dxa"/>
            <w:vMerge w:val="restart"/>
            <w:vAlign w:val="center"/>
            <w:hideMark/>
          </w:tcPr>
          <w:p w14:paraId="2931A3B9"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Treasury Management Strategy (TMS)</w:t>
            </w:r>
          </w:p>
        </w:tc>
        <w:tc>
          <w:tcPr>
            <w:tcW w:w="3029" w:type="dxa"/>
            <w:noWrap/>
            <w:vAlign w:val="center"/>
            <w:hideMark/>
          </w:tcPr>
          <w:p w14:paraId="7062C94B"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 xml:space="preserve">Audit Committee - Scrutiny </w:t>
            </w:r>
          </w:p>
        </w:tc>
        <w:tc>
          <w:tcPr>
            <w:tcW w:w="3029" w:type="dxa"/>
            <w:vAlign w:val="center"/>
            <w:hideMark/>
          </w:tcPr>
          <w:p w14:paraId="18D14154"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Annually before the start of the financial year</w:t>
            </w:r>
          </w:p>
        </w:tc>
      </w:tr>
      <w:tr w:rsidR="00E3289C" w:rsidRPr="0049601F" w14:paraId="230F01E0" w14:textId="77777777" w:rsidTr="00E3289C">
        <w:trPr>
          <w:trHeight w:val="658"/>
        </w:trPr>
        <w:tc>
          <w:tcPr>
            <w:tcW w:w="3029" w:type="dxa"/>
            <w:vMerge/>
            <w:vAlign w:val="center"/>
            <w:hideMark/>
          </w:tcPr>
          <w:p w14:paraId="2CDD6BCF" w14:textId="77777777" w:rsidR="00E3289C" w:rsidRPr="002B631E" w:rsidRDefault="00E3289C" w:rsidP="00E3289C">
            <w:pPr>
              <w:widowControl w:val="0"/>
              <w:rPr>
                <w:rFonts w:ascii="Arial" w:hAnsi="Arial" w:cs="Arial"/>
                <w:color w:val="000000"/>
                <w:sz w:val="22"/>
                <w:szCs w:val="22"/>
              </w:rPr>
            </w:pPr>
          </w:p>
        </w:tc>
        <w:tc>
          <w:tcPr>
            <w:tcW w:w="3029" w:type="dxa"/>
            <w:noWrap/>
            <w:vAlign w:val="center"/>
            <w:hideMark/>
          </w:tcPr>
          <w:p w14:paraId="457DACCE"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 xml:space="preserve">Full Council - Approval </w:t>
            </w:r>
          </w:p>
        </w:tc>
        <w:tc>
          <w:tcPr>
            <w:tcW w:w="3029" w:type="dxa"/>
            <w:vAlign w:val="center"/>
            <w:hideMark/>
          </w:tcPr>
          <w:p w14:paraId="015B350E"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Annually before the start of the financial year</w:t>
            </w:r>
          </w:p>
        </w:tc>
      </w:tr>
      <w:tr w:rsidR="00E3289C" w:rsidRPr="0049601F" w14:paraId="5D4891EA" w14:textId="77777777" w:rsidTr="00E3289C">
        <w:trPr>
          <w:trHeight w:val="735"/>
        </w:trPr>
        <w:tc>
          <w:tcPr>
            <w:tcW w:w="3029" w:type="dxa"/>
            <w:vMerge w:val="restart"/>
            <w:vAlign w:val="center"/>
            <w:hideMark/>
          </w:tcPr>
          <w:p w14:paraId="11C7B32A"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Treasury Management Mid-year review</w:t>
            </w:r>
          </w:p>
        </w:tc>
        <w:tc>
          <w:tcPr>
            <w:tcW w:w="3029" w:type="dxa"/>
            <w:noWrap/>
            <w:vAlign w:val="center"/>
            <w:hideMark/>
          </w:tcPr>
          <w:p w14:paraId="3531077F"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 xml:space="preserve">Audit Committee - Scrutiny </w:t>
            </w:r>
          </w:p>
        </w:tc>
        <w:tc>
          <w:tcPr>
            <w:tcW w:w="3029" w:type="dxa"/>
            <w:vAlign w:val="center"/>
            <w:hideMark/>
          </w:tcPr>
          <w:p w14:paraId="34F95BEE"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Annually at next available Audit Committee following 30 September</w:t>
            </w:r>
          </w:p>
        </w:tc>
      </w:tr>
      <w:tr w:rsidR="00E3289C" w:rsidRPr="0049601F" w14:paraId="1235C64B" w14:textId="77777777" w:rsidTr="00E3289C">
        <w:trPr>
          <w:trHeight w:val="523"/>
        </w:trPr>
        <w:tc>
          <w:tcPr>
            <w:tcW w:w="3029" w:type="dxa"/>
            <w:vMerge/>
            <w:vAlign w:val="center"/>
            <w:hideMark/>
          </w:tcPr>
          <w:p w14:paraId="44129509" w14:textId="77777777" w:rsidR="00E3289C" w:rsidRPr="002B631E" w:rsidRDefault="00E3289C" w:rsidP="00E3289C">
            <w:pPr>
              <w:widowControl w:val="0"/>
              <w:rPr>
                <w:rFonts w:ascii="Arial" w:hAnsi="Arial" w:cs="Arial"/>
                <w:color w:val="000000"/>
                <w:sz w:val="22"/>
                <w:szCs w:val="22"/>
              </w:rPr>
            </w:pPr>
          </w:p>
        </w:tc>
        <w:tc>
          <w:tcPr>
            <w:tcW w:w="3029" w:type="dxa"/>
            <w:noWrap/>
            <w:vAlign w:val="center"/>
            <w:hideMark/>
          </w:tcPr>
          <w:p w14:paraId="17EC6652"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 xml:space="preserve">Full Council – To Note </w:t>
            </w:r>
          </w:p>
        </w:tc>
        <w:tc>
          <w:tcPr>
            <w:tcW w:w="3029" w:type="dxa"/>
            <w:vAlign w:val="center"/>
            <w:hideMark/>
          </w:tcPr>
          <w:p w14:paraId="631E086A"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Annually with TMS</w:t>
            </w:r>
          </w:p>
        </w:tc>
      </w:tr>
      <w:tr w:rsidR="00E3289C" w:rsidRPr="0049601F" w14:paraId="5D7C6483" w14:textId="77777777" w:rsidTr="00E3289C">
        <w:trPr>
          <w:trHeight w:val="659"/>
        </w:trPr>
        <w:tc>
          <w:tcPr>
            <w:tcW w:w="3029" w:type="dxa"/>
            <w:vMerge w:val="restart"/>
            <w:vAlign w:val="center"/>
            <w:hideMark/>
          </w:tcPr>
          <w:p w14:paraId="3404E16C"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Annual Treasury Outturn Review</w:t>
            </w:r>
          </w:p>
        </w:tc>
        <w:tc>
          <w:tcPr>
            <w:tcW w:w="3029" w:type="dxa"/>
            <w:noWrap/>
            <w:vAlign w:val="center"/>
            <w:hideMark/>
          </w:tcPr>
          <w:p w14:paraId="3A48AC39"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 xml:space="preserve">Audit Committee - Scrutiny </w:t>
            </w:r>
          </w:p>
        </w:tc>
        <w:tc>
          <w:tcPr>
            <w:tcW w:w="3029" w:type="dxa"/>
            <w:vAlign w:val="center"/>
            <w:hideMark/>
          </w:tcPr>
          <w:p w14:paraId="1103E532"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Annually by the 30 September after each year end</w:t>
            </w:r>
          </w:p>
        </w:tc>
      </w:tr>
      <w:tr w:rsidR="00E3289C" w:rsidRPr="0049601F" w14:paraId="2AC5DAD1" w14:textId="77777777" w:rsidTr="00E3289C">
        <w:trPr>
          <w:trHeight w:val="528"/>
        </w:trPr>
        <w:tc>
          <w:tcPr>
            <w:tcW w:w="3029" w:type="dxa"/>
            <w:vMerge/>
            <w:vAlign w:val="center"/>
            <w:hideMark/>
          </w:tcPr>
          <w:p w14:paraId="0828DC05" w14:textId="77777777" w:rsidR="00E3289C" w:rsidRPr="002B631E" w:rsidRDefault="00E3289C" w:rsidP="00E3289C">
            <w:pPr>
              <w:widowControl w:val="0"/>
              <w:rPr>
                <w:rFonts w:ascii="Arial" w:hAnsi="Arial" w:cs="Arial"/>
                <w:color w:val="000000"/>
                <w:sz w:val="22"/>
                <w:szCs w:val="22"/>
              </w:rPr>
            </w:pPr>
          </w:p>
        </w:tc>
        <w:tc>
          <w:tcPr>
            <w:tcW w:w="3029" w:type="dxa"/>
            <w:noWrap/>
            <w:vAlign w:val="center"/>
            <w:hideMark/>
          </w:tcPr>
          <w:p w14:paraId="228D6AE8"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 xml:space="preserve">Full Council – To Note </w:t>
            </w:r>
          </w:p>
        </w:tc>
        <w:tc>
          <w:tcPr>
            <w:tcW w:w="3029" w:type="dxa"/>
            <w:vAlign w:val="center"/>
            <w:hideMark/>
          </w:tcPr>
          <w:p w14:paraId="264B1DE0"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Annually with TMS</w:t>
            </w:r>
          </w:p>
        </w:tc>
      </w:tr>
      <w:tr w:rsidR="00E3289C" w:rsidRPr="005C435D" w14:paraId="34959E83" w14:textId="77777777" w:rsidTr="00E3289C">
        <w:trPr>
          <w:trHeight w:val="664"/>
        </w:trPr>
        <w:tc>
          <w:tcPr>
            <w:tcW w:w="3029" w:type="dxa"/>
            <w:vAlign w:val="center"/>
            <w:hideMark/>
          </w:tcPr>
          <w:p w14:paraId="03683F7F"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Treasury Management Monitoring Reports</w:t>
            </w:r>
          </w:p>
        </w:tc>
        <w:tc>
          <w:tcPr>
            <w:tcW w:w="3029" w:type="dxa"/>
            <w:noWrap/>
            <w:vAlign w:val="center"/>
            <w:hideMark/>
          </w:tcPr>
          <w:p w14:paraId="5158AE1F"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Financial Monitoring Panel</w:t>
            </w:r>
          </w:p>
        </w:tc>
        <w:tc>
          <w:tcPr>
            <w:tcW w:w="3029" w:type="dxa"/>
            <w:vAlign w:val="center"/>
            <w:hideMark/>
          </w:tcPr>
          <w:p w14:paraId="521CC3F0" w14:textId="77777777" w:rsidR="00E3289C" w:rsidRPr="002B631E" w:rsidRDefault="00E3289C" w:rsidP="00E3289C">
            <w:pPr>
              <w:widowControl w:val="0"/>
              <w:jc w:val="center"/>
              <w:rPr>
                <w:rFonts w:ascii="Arial" w:hAnsi="Arial" w:cs="Arial"/>
                <w:color w:val="000000"/>
                <w:sz w:val="22"/>
                <w:szCs w:val="22"/>
              </w:rPr>
            </w:pPr>
            <w:r w:rsidRPr="002B631E">
              <w:rPr>
                <w:rFonts w:ascii="Arial" w:hAnsi="Arial" w:cs="Arial"/>
                <w:color w:val="000000"/>
                <w:sz w:val="22"/>
                <w:szCs w:val="22"/>
              </w:rPr>
              <w:t>Quarterly</w:t>
            </w:r>
          </w:p>
        </w:tc>
      </w:tr>
    </w:tbl>
    <w:p w14:paraId="6AEED6A3" w14:textId="77777777" w:rsidR="00E3289C" w:rsidRPr="0049601F" w:rsidRDefault="00E3289C" w:rsidP="00E3289C">
      <w:pPr>
        <w:pStyle w:val="ListParagraph"/>
        <w:widowControl w:val="0"/>
        <w:ind w:left="360"/>
        <w:rPr>
          <w:rFonts w:ascii="Arial" w:hAnsi="Arial" w:cs="Arial"/>
        </w:rPr>
      </w:pPr>
    </w:p>
    <w:p w14:paraId="22DFF35F" w14:textId="77777777" w:rsidR="00082440" w:rsidRPr="00082440" w:rsidRDefault="00082440" w:rsidP="00082440">
      <w:pPr>
        <w:pStyle w:val="ListParagraph"/>
        <w:widowControl w:val="0"/>
        <w:ind w:left="567"/>
        <w:rPr>
          <w:rFonts w:ascii="Arial" w:hAnsi="Arial" w:cs="Arial"/>
          <w:sz w:val="28"/>
          <w:szCs w:val="28"/>
        </w:rPr>
      </w:pPr>
    </w:p>
    <w:p w14:paraId="67AD1D41" w14:textId="20E240E2" w:rsidR="00E3289C" w:rsidRPr="0049601F" w:rsidRDefault="00E3289C" w:rsidP="00B4303B">
      <w:pPr>
        <w:pStyle w:val="ListParagraph"/>
        <w:widowControl w:val="0"/>
        <w:numPr>
          <w:ilvl w:val="0"/>
          <w:numId w:val="20"/>
        </w:numPr>
        <w:ind w:left="709" w:hanging="709"/>
        <w:rPr>
          <w:rFonts w:ascii="Arial" w:hAnsi="Arial" w:cs="Arial"/>
          <w:sz w:val="28"/>
          <w:szCs w:val="28"/>
        </w:rPr>
      </w:pPr>
      <w:r w:rsidRPr="0049601F">
        <w:rPr>
          <w:rFonts w:ascii="Arial" w:hAnsi="Arial" w:cs="Arial"/>
          <w:b/>
          <w:sz w:val="28"/>
          <w:szCs w:val="28"/>
          <w:u w:val="single"/>
        </w:rPr>
        <w:t>Training</w:t>
      </w:r>
    </w:p>
    <w:p w14:paraId="77483222" w14:textId="77777777" w:rsidR="00E3289C" w:rsidRPr="0049601F" w:rsidRDefault="00E3289C" w:rsidP="00E3289C">
      <w:pPr>
        <w:widowControl w:val="0"/>
        <w:tabs>
          <w:tab w:val="left" w:pos="0"/>
        </w:tabs>
        <w:ind w:left="360"/>
        <w:rPr>
          <w:rFonts w:ascii="Arial" w:hAnsi="Arial" w:cs="Arial"/>
        </w:rPr>
      </w:pPr>
    </w:p>
    <w:p w14:paraId="27B8354B" w14:textId="32D30742" w:rsidR="00E3289C" w:rsidRDefault="00E3289C" w:rsidP="00D60EFC">
      <w:pPr>
        <w:widowControl w:val="0"/>
        <w:numPr>
          <w:ilvl w:val="1"/>
          <w:numId w:val="20"/>
        </w:numPr>
        <w:ind w:left="709" w:hanging="709"/>
        <w:jc w:val="both"/>
        <w:rPr>
          <w:rFonts w:ascii="Arial" w:hAnsi="Arial" w:cs="Arial"/>
        </w:rPr>
      </w:pPr>
      <w:r w:rsidRPr="0049601F">
        <w:rPr>
          <w:rFonts w:ascii="Arial" w:hAnsi="Arial" w:cs="Arial"/>
        </w:rPr>
        <w:t>The CIPFA Code requires the</w:t>
      </w:r>
      <w:r>
        <w:rPr>
          <w:rFonts w:ascii="Arial" w:hAnsi="Arial" w:cs="Arial"/>
        </w:rPr>
        <w:t xml:space="preserve"> </w:t>
      </w:r>
      <w:r>
        <w:rPr>
          <w:rFonts w:ascii="Arial" w:hAnsi="Arial" w:cs="Arial"/>
          <w:color w:val="000000"/>
          <w:lang w:eastAsia="en-GB"/>
        </w:rPr>
        <w:t xml:space="preserve">Assistant Director </w:t>
      </w:r>
      <w:r w:rsidR="00B4303B">
        <w:rPr>
          <w:rFonts w:ascii="Arial" w:hAnsi="Arial" w:cs="Arial"/>
          <w:color w:val="000000"/>
          <w:lang w:eastAsia="en-GB"/>
        </w:rPr>
        <w:t>for</w:t>
      </w:r>
      <w:r>
        <w:rPr>
          <w:rFonts w:ascii="Arial" w:hAnsi="Arial" w:cs="Arial"/>
          <w:color w:val="000000"/>
          <w:lang w:eastAsia="en-GB"/>
        </w:rPr>
        <w:t xml:space="preserve"> Finance</w:t>
      </w:r>
      <w:r w:rsidRPr="0049601F">
        <w:rPr>
          <w:rFonts w:ascii="Arial" w:hAnsi="Arial" w:cs="Arial"/>
        </w:rPr>
        <w:t>, as the responsible officer, to ensure that members with responsibility for treasury management receive adequate training in treasury management. This especially applies to members responsible for scrutiny.</w:t>
      </w:r>
    </w:p>
    <w:p w14:paraId="60E14A4C" w14:textId="77777777" w:rsidR="00E3289C" w:rsidRDefault="00E3289C" w:rsidP="00E3289C">
      <w:pPr>
        <w:widowControl w:val="0"/>
        <w:ind w:left="709"/>
        <w:jc w:val="both"/>
        <w:rPr>
          <w:rFonts w:ascii="Arial" w:hAnsi="Arial" w:cs="Arial"/>
        </w:rPr>
      </w:pPr>
    </w:p>
    <w:p w14:paraId="3DEC2D76" w14:textId="77777777" w:rsidR="00E3289C" w:rsidRPr="003C37B7" w:rsidRDefault="00E3289C" w:rsidP="00D60EFC">
      <w:pPr>
        <w:widowControl w:val="0"/>
        <w:numPr>
          <w:ilvl w:val="1"/>
          <w:numId w:val="20"/>
        </w:numPr>
        <w:ind w:left="709" w:hanging="709"/>
        <w:jc w:val="both"/>
        <w:rPr>
          <w:rFonts w:ascii="Arial" w:hAnsi="Arial" w:cs="Arial"/>
        </w:rPr>
      </w:pPr>
      <w:r w:rsidRPr="003C37B7">
        <w:rPr>
          <w:rFonts w:ascii="Arial" w:hAnsi="Arial" w:cs="Arial"/>
        </w:rPr>
        <w:t>Furthermore, pages 47 and 48 of the Code state that they expect “all organisations to have a formal and comprehensive knowledge and skills or training policy for the effective acquisition and retention of treasury management knowledge and skills for those responsible for management, delivery, governance and decision making.</w:t>
      </w:r>
    </w:p>
    <w:p w14:paraId="2898D844" w14:textId="77777777" w:rsidR="00E3289C" w:rsidRPr="0049601F" w:rsidRDefault="00E3289C" w:rsidP="00E3289C">
      <w:pPr>
        <w:widowControl w:val="0"/>
        <w:ind w:left="709"/>
        <w:jc w:val="both"/>
        <w:rPr>
          <w:rFonts w:ascii="Arial" w:hAnsi="Arial" w:cs="Arial"/>
        </w:rPr>
      </w:pPr>
    </w:p>
    <w:p w14:paraId="0AAD7EB9" w14:textId="64BAD7E8" w:rsidR="00E3289C" w:rsidRPr="0049601F" w:rsidRDefault="00E3289C" w:rsidP="00D60EFC">
      <w:pPr>
        <w:widowControl w:val="0"/>
        <w:numPr>
          <w:ilvl w:val="1"/>
          <w:numId w:val="20"/>
        </w:numPr>
        <w:ind w:left="709" w:hanging="709"/>
        <w:jc w:val="both"/>
        <w:rPr>
          <w:rFonts w:ascii="Arial" w:hAnsi="Arial" w:cs="Arial"/>
          <w:b/>
          <w:sz w:val="28"/>
          <w:szCs w:val="28"/>
          <w:u w:val="single"/>
        </w:rPr>
      </w:pPr>
      <w:r w:rsidRPr="0049601F">
        <w:rPr>
          <w:rFonts w:ascii="Arial" w:hAnsi="Arial" w:cs="Arial"/>
        </w:rPr>
        <w:t xml:space="preserve">The Council’s treasury advisor, </w:t>
      </w:r>
      <w:r>
        <w:rPr>
          <w:rFonts w:ascii="Arial" w:hAnsi="Arial" w:cs="Arial"/>
        </w:rPr>
        <w:t>MUFG Corporate Markets (previously Link Asset Services)</w:t>
      </w:r>
      <w:r w:rsidRPr="0049601F">
        <w:rPr>
          <w:rFonts w:ascii="Arial" w:hAnsi="Arial" w:cs="Arial"/>
        </w:rPr>
        <w:t>, presented training for members of the Audit Committee (and other interested members and officers) in July and October 2023.</w:t>
      </w:r>
      <w:r w:rsidR="00B4303B">
        <w:rPr>
          <w:rFonts w:ascii="Arial" w:hAnsi="Arial" w:cs="Arial"/>
        </w:rPr>
        <w:t xml:space="preserve"> Further </w:t>
      </w:r>
      <w:r w:rsidR="00B4303B">
        <w:rPr>
          <w:rFonts w:ascii="Arial" w:hAnsi="Arial" w:cs="Arial"/>
        </w:rPr>
        <w:lastRenderedPageBreak/>
        <w:t>training will be arranged during 2026.</w:t>
      </w:r>
    </w:p>
    <w:p w14:paraId="3CE346C4" w14:textId="77777777" w:rsidR="00E3289C" w:rsidRPr="0049601F" w:rsidRDefault="00E3289C" w:rsidP="00E3289C">
      <w:pPr>
        <w:pStyle w:val="ListParagraph"/>
        <w:rPr>
          <w:rFonts w:ascii="Arial" w:hAnsi="Arial" w:cs="Arial"/>
          <w:b/>
          <w:u w:val="single"/>
        </w:rPr>
      </w:pPr>
    </w:p>
    <w:p w14:paraId="761E9295" w14:textId="77777777" w:rsidR="00E3289C" w:rsidRPr="0049601F" w:rsidRDefault="00E3289C" w:rsidP="00D60EFC">
      <w:pPr>
        <w:widowControl w:val="0"/>
        <w:numPr>
          <w:ilvl w:val="1"/>
          <w:numId w:val="20"/>
        </w:numPr>
        <w:ind w:left="709" w:hanging="709"/>
        <w:jc w:val="both"/>
        <w:rPr>
          <w:rFonts w:ascii="Arial" w:hAnsi="Arial" w:cs="Arial"/>
          <w:b/>
          <w:u w:val="single"/>
        </w:rPr>
      </w:pPr>
      <w:r>
        <w:rPr>
          <w:rFonts w:ascii="Arial" w:hAnsi="Arial" w:cs="Arial"/>
        </w:rPr>
        <w:t>MUFG Corporate Markets</w:t>
      </w:r>
      <w:r w:rsidRPr="0049601F">
        <w:rPr>
          <w:rFonts w:ascii="Arial" w:hAnsi="Arial" w:cs="Arial"/>
        </w:rPr>
        <w:t xml:space="preserve"> also offer various seminars and training courses for officers responsible for treasury management as well as providing regular briefings and alerts to keep officers fully informed.</w:t>
      </w:r>
    </w:p>
    <w:p w14:paraId="0DEA65FA" w14:textId="77777777" w:rsidR="00E3289C" w:rsidRPr="0049601F" w:rsidRDefault="00E3289C" w:rsidP="00E3289C">
      <w:pPr>
        <w:widowControl w:val="0"/>
        <w:tabs>
          <w:tab w:val="left" w:pos="1037"/>
        </w:tabs>
        <w:rPr>
          <w:rFonts w:ascii="Arial" w:hAnsi="Arial" w:cs="Arial"/>
          <w:sz w:val="28"/>
          <w:szCs w:val="28"/>
        </w:rPr>
      </w:pPr>
    </w:p>
    <w:p w14:paraId="3F9D487F" w14:textId="77777777" w:rsidR="00B4303B" w:rsidRDefault="00B4303B" w:rsidP="00B4303B">
      <w:pPr>
        <w:pStyle w:val="ListParagraph"/>
        <w:widowControl w:val="0"/>
        <w:ind w:left="567"/>
        <w:rPr>
          <w:rFonts w:ascii="Arial" w:hAnsi="Arial" w:cs="Arial"/>
          <w:b/>
          <w:sz w:val="28"/>
          <w:szCs w:val="28"/>
          <w:u w:val="single"/>
        </w:rPr>
      </w:pPr>
    </w:p>
    <w:p w14:paraId="7456E76E" w14:textId="64CA4A9D" w:rsidR="00E3289C" w:rsidRPr="0049601F" w:rsidRDefault="00E3289C" w:rsidP="00B4303B">
      <w:pPr>
        <w:pStyle w:val="ListParagraph"/>
        <w:widowControl w:val="0"/>
        <w:numPr>
          <w:ilvl w:val="0"/>
          <w:numId w:val="20"/>
        </w:numPr>
        <w:ind w:left="709" w:hanging="709"/>
        <w:rPr>
          <w:rFonts w:ascii="Arial" w:hAnsi="Arial" w:cs="Arial"/>
          <w:b/>
          <w:sz w:val="28"/>
          <w:szCs w:val="28"/>
          <w:u w:val="single"/>
        </w:rPr>
      </w:pPr>
      <w:r w:rsidRPr="0049601F">
        <w:rPr>
          <w:rFonts w:ascii="Arial" w:hAnsi="Arial" w:cs="Arial"/>
          <w:b/>
          <w:sz w:val="28"/>
          <w:szCs w:val="28"/>
          <w:u w:val="single"/>
        </w:rPr>
        <w:t xml:space="preserve">Treasury Management </w:t>
      </w:r>
      <w:r>
        <w:rPr>
          <w:rFonts w:ascii="Arial" w:hAnsi="Arial" w:cs="Arial"/>
          <w:b/>
          <w:sz w:val="28"/>
          <w:szCs w:val="28"/>
          <w:u w:val="single"/>
        </w:rPr>
        <w:t>Advisors</w:t>
      </w:r>
    </w:p>
    <w:p w14:paraId="44F96F55" w14:textId="77777777" w:rsidR="00E3289C" w:rsidRPr="003C37B7" w:rsidRDefault="00E3289C" w:rsidP="00E3289C">
      <w:pPr>
        <w:widowControl w:val="0"/>
        <w:jc w:val="both"/>
        <w:rPr>
          <w:rFonts w:ascii="Arial" w:hAnsi="Arial" w:cs="Arial"/>
        </w:rPr>
      </w:pPr>
    </w:p>
    <w:p w14:paraId="3030D9D6" w14:textId="77777777" w:rsidR="00E3289C" w:rsidRPr="003C37B7" w:rsidRDefault="00E3289C" w:rsidP="00D60EFC">
      <w:pPr>
        <w:pStyle w:val="ListParagraph"/>
        <w:numPr>
          <w:ilvl w:val="1"/>
          <w:numId w:val="20"/>
        </w:numPr>
        <w:jc w:val="both"/>
        <w:rPr>
          <w:rFonts w:ascii="Arial" w:hAnsi="Arial" w:cs="Arial"/>
        </w:rPr>
      </w:pPr>
      <w:r w:rsidRPr="003C37B7">
        <w:rPr>
          <w:rFonts w:ascii="Arial" w:hAnsi="Arial" w:cs="Arial"/>
        </w:rPr>
        <w:t>The Authority uses MUFG Corporate Markets as its external treasury management advisors.</w:t>
      </w:r>
    </w:p>
    <w:p w14:paraId="5D21A4EE" w14:textId="77777777" w:rsidR="00E3289C" w:rsidRDefault="00E3289C" w:rsidP="00E3289C">
      <w:pPr>
        <w:pStyle w:val="ListParagraph"/>
        <w:widowControl w:val="0"/>
        <w:jc w:val="both"/>
        <w:rPr>
          <w:rFonts w:ascii="Arial" w:hAnsi="Arial" w:cs="Arial"/>
        </w:rPr>
      </w:pPr>
    </w:p>
    <w:p w14:paraId="6EC13585" w14:textId="77777777" w:rsidR="00E3289C" w:rsidRPr="0049601F" w:rsidRDefault="00E3289C" w:rsidP="00D60EFC">
      <w:pPr>
        <w:pStyle w:val="ListParagraph"/>
        <w:widowControl w:val="0"/>
        <w:numPr>
          <w:ilvl w:val="1"/>
          <w:numId w:val="20"/>
        </w:numPr>
        <w:ind w:hanging="716"/>
        <w:jc w:val="both"/>
        <w:rPr>
          <w:rFonts w:ascii="Arial" w:hAnsi="Arial" w:cs="Arial"/>
        </w:rPr>
      </w:pPr>
      <w:r w:rsidRPr="0049601F">
        <w:rPr>
          <w:rFonts w:ascii="Arial" w:hAnsi="Arial" w:cs="Arial"/>
        </w:rPr>
        <w:t>The Council recognises that responsibility for treasury management decisions remains with the organisation at all times and will ensure that undue reliance is not placed upon the services of our external service providers. All decisions will be undertaken with regards to all available information, including, but not solely, our treasury advisers.</w:t>
      </w:r>
    </w:p>
    <w:p w14:paraId="052F2136" w14:textId="77777777" w:rsidR="00E3289C" w:rsidRPr="0049601F" w:rsidRDefault="00E3289C" w:rsidP="00E3289C">
      <w:pPr>
        <w:widowControl w:val="0"/>
        <w:ind w:hanging="716"/>
        <w:jc w:val="both"/>
        <w:rPr>
          <w:rFonts w:ascii="Arial" w:hAnsi="Arial" w:cs="Arial"/>
        </w:rPr>
      </w:pPr>
    </w:p>
    <w:p w14:paraId="7C19CBB0" w14:textId="77777777" w:rsidR="00E3289C" w:rsidRDefault="00E3289C" w:rsidP="00D60EFC">
      <w:pPr>
        <w:pStyle w:val="ListParagraph"/>
        <w:widowControl w:val="0"/>
        <w:numPr>
          <w:ilvl w:val="1"/>
          <w:numId w:val="20"/>
        </w:numPr>
        <w:ind w:hanging="716"/>
        <w:jc w:val="both"/>
        <w:rPr>
          <w:rFonts w:ascii="Arial" w:hAnsi="Arial" w:cs="Arial"/>
        </w:rPr>
      </w:pPr>
      <w:r w:rsidRPr="0049601F">
        <w:rPr>
          <w:rFonts w:ascii="Arial" w:hAnsi="Arial" w:cs="Arial"/>
        </w:rPr>
        <w:t>It also recognises that there is value in employing external providers of treasury management services to acquire access to specialist skills and resources. The Council will ensure that the terms of their appointment and the methods by which their value will be assessed are properly agreed and documented and subjected to regular review.</w:t>
      </w:r>
    </w:p>
    <w:p w14:paraId="04A80C30" w14:textId="77777777" w:rsidR="00E3289C" w:rsidRPr="0000138C" w:rsidRDefault="00E3289C" w:rsidP="00E3289C">
      <w:pPr>
        <w:pStyle w:val="ListParagraph"/>
        <w:rPr>
          <w:rFonts w:ascii="Arial" w:hAnsi="Arial" w:cs="Arial"/>
        </w:rPr>
      </w:pPr>
    </w:p>
    <w:p w14:paraId="3DE83A9F" w14:textId="77777777" w:rsidR="00E3289C" w:rsidRPr="0049601F" w:rsidRDefault="00E3289C" w:rsidP="00E3289C">
      <w:pPr>
        <w:pStyle w:val="ListParagraph"/>
        <w:widowControl w:val="0"/>
        <w:ind w:left="716"/>
        <w:jc w:val="both"/>
        <w:rPr>
          <w:rFonts w:ascii="Arial" w:hAnsi="Arial" w:cs="Arial"/>
        </w:rPr>
      </w:pPr>
    </w:p>
    <w:p w14:paraId="111DAD8C" w14:textId="77777777" w:rsidR="00E3289C" w:rsidRPr="0000138C" w:rsidRDefault="00E3289C" w:rsidP="00B4303B">
      <w:pPr>
        <w:pStyle w:val="ListParagraph"/>
        <w:widowControl w:val="0"/>
        <w:numPr>
          <w:ilvl w:val="0"/>
          <w:numId w:val="20"/>
        </w:numPr>
        <w:ind w:left="709" w:hanging="709"/>
        <w:rPr>
          <w:rFonts w:ascii="Arial" w:hAnsi="Arial" w:cs="Arial"/>
          <w:b/>
          <w:sz w:val="28"/>
          <w:szCs w:val="28"/>
          <w:u w:val="single"/>
        </w:rPr>
      </w:pPr>
      <w:bookmarkStart w:id="0" w:name="_Toc339459867"/>
      <w:r w:rsidRPr="0000138C">
        <w:rPr>
          <w:rFonts w:ascii="Arial" w:hAnsi="Arial" w:cs="Arial"/>
          <w:b/>
          <w:sz w:val="28"/>
          <w:szCs w:val="28"/>
          <w:u w:val="single"/>
        </w:rPr>
        <w:t>The Capital Prudential Indicators 202</w:t>
      </w:r>
      <w:r>
        <w:rPr>
          <w:rFonts w:ascii="Arial" w:hAnsi="Arial" w:cs="Arial"/>
          <w:b/>
          <w:sz w:val="28"/>
          <w:szCs w:val="28"/>
          <w:u w:val="single"/>
        </w:rPr>
        <w:t>6</w:t>
      </w:r>
      <w:r w:rsidRPr="0000138C">
        <w:rPr>
          <w:rFonts w:ascii="Arial" w:hAnsi="Arial" w:cs="Arial"/>
          <w:b/>
          <w:sz w:val="28"/>
          <w:szCs w:val="28"/>
          <w:u w:val="single"/>
        </w:rPr>
        <w:t>/2</w:t>
      </w:r>
      <w:r>
        <w:rPr>
          <w:rFonts w:ascii="Arial" w:hAnsi="Arial" w:cs="Arial"/>
          <w:b/>
          <w:sz w:val="28"/>
          <w:szCs w:val="28"/>
          <w:u w:val="single"/>
        </w:rPr>
        <w:t>7</w:t>
      </w:r>
      <w:r w:rsidRPr="0000138C">
        <w:rPr>
          <w:rFonts w:ascii="Arial" w:hAnsi="Arial" w:cs="Arial"/>
          <w:b/>
          <w:sz w:val="28"/>
          <w:szCs w:val="28"/>
          <w:u w:val="single"/>
        </w:rPr>
        <w:t xml:space="preserve"> – 202</w:t>
      </w:r>
      <w:r>
        <w:rPr>
          <w:rFonts w:ascii="Arial" w:hAnsi="Arial" w:cs="Arial"/>
          <w:b/>
          <w:sz w:val="28"/>
          <w:szCs w:val="28"/>
          <w:u w:val="single"/>
        </w:rPr>
        <w:t>8</w:t>
      </w:r>
      <w:r w:rsidRPr="0000138C">
        <w:rPr>
          <w:rFonts w:ascii="Arial" w:hAnsi="Arial" w:cs="Arial"/>
          <w:b/>
          <w:sz w:val="28"/>
          <w:szCs w:val="28"/>
          <w:u w:val="single"/>
        </w:rPr>
        <w:t>/</w:t>
      </w:r>
      <w:bookmarkEnd w:id="0"/>
      <w:r w:rsidRPr="0000138C">
        <w:rPr>
          <w:rFonts w:ascii="Arial" w:hAnsi="Arial" w:cs="Arial"/>
          <w:b/>
          <w:sz w:val="28"/>
          <w:szCs w:val="28"/>
          <w:u w:val="single"/>
        </w:rPr>
        <w:t>2</w:t>
      </w:r>
      <w:r>
        <w:rPr>
          <w:rFonts w:ascii="Arial" w:hAnsi="Arial" w:cs="Arial"/>
          <w:b/>
          <w:sz w:val="28"/>
          <w:szCs w:val="28"/>
          <w:u w:val="single"/>
        </w:rPr>
        <w:t>9</w:t>
      </w:r>
    </w:p>
    <w:p w14:paraId="3A9787C9" w14:textId="77777777" w:rsidR="00E3289C" w:rsidRPr="0000138C" w:rsidRDefault="00E3289C" w:rsidP="00E3289C">
      <w:pPr>
        <w:widowControl w:val="0"/>
        <w:tabs>
          <w:tab w:val="left" w:pos="0"/>
        </w:tabs>
        <w:ind w:left="360"/>
        <w:rPr>
          <w:rFonts w:ascii="Arial" w:hAnsi="Arial"/>
          <w:u w:val="single"/>
        </w:rPr>
      </w:pPr>
    </w:p>
    <w:p w14:paraId="6240FF23" w14:textId="77777777" w:rsidR="00E3289C" w:rsidRPr="0000138C" w:rsidRDefault="00E3289C" w:rsidP="00D60EFC">
      <w:pPr>
        <w:pStyle w:val="ListParagraph"/>
        <w:widowControl w:val="0"/>
        <w:numPr>
          <w:ilvl w:val="1"/>
          <w:numId w:val="20"/>
        </w:numPr>
        <w:ind w:hanging="716"/>
        <w:jc w:val="both"/>
        <w:rPr>
          <w:rFonts w:ascii="Arial" w:hAnsi="Arial" w:cs="Arial"/>
        </w:rPr>
      </w:pPr>
      <w:r w:rsidRPr="0000138C">
        <w:rPr>
          <w:rFonts w:ascii="Arial" w:hAnsi="Arial" w:cs="Arial"/>
        </w:rPr>
        <w:t>The Council’s capital expenditure plans are the key driver of treasury management activity. The output of the capital expenditure plans is reflected in the prudential indicators, which are designed to assist members’ overview and confirm capital expenditure plans are prudent, affordable and sustainable.</w:t>
      </w:r>
    </w:p>
    <w:p w14:paraId="7288C8BD" w14:textId="77777777" w:rsidR="00E3289C" w:rsidRPr="0000138C" w:rsidRDefault="00E3289C" w:rsidP="00E3289C">
      <w:pPr>
        <w:pStyle w:val="ListParagraph"/>
        <w:widowControl w:val="0"/>
        <w:ind w:left="716"/>
        <w:jc w:val="both"/>
        <w:rPr>
          <w:rFonts w:ascii="Arial" w:hAnsi="Arial" w:cs="Arial"/>
        </w:rPr>
      </w:pPr>
    </w:p>
    <w:p w14:paraId="0489F180" w14:textId="77777777" w:rsidR="00E3289C" w:rsidRPr="006E4332" w:rsidRDefault="00E3289C" w:rsidP="00D60EFC">
      <w:pPr>
        <w:pStyle w:val="ListParagraph"/>
        <w:widowControl w:val="0"/>
        <w:numPr>
          <w:ilvl w:val="1"/>
          <w:numId w:val="20"/>
        </w:numPr>
        <w:ind w:hanging="716"/>
        <w:jc w:val="both"/>
        <w:rPr>
          <w:rFonts w:ascii="Arial" w:hAnsi="Arial" w:cs="Arial"/>
        </w:rPr>
      </w:pPr>
      <w:bookmarkStart w:id="1" w:name="_Toc339459868"/>
      <w:r w:rsidRPr="006E4332">
        <w:rPr>
          <w:rFonts w:ascii="Arial" w:hAnsi="Arial" w:cs="Arial"/>
          <w:b/>
        </w:rPr>
        <w:t xml:space="preserve">Capital Expenditure </w:t>
      </w:r>
      <w:bookmarkEnd w:id="1"/>
    </w:p>
    <w:p w14:paraId="3B027246" w14:textId="77777777" w:rsidR="00E3289C" w:rsidRPr="006E4332" w:rsidRDefault="00E3289C" w:rsidP="00E3289C">
      <w:pPr>
        <w:widowControl w:val="0"/>
        <w:tabs>
          <w:tab w:val="left" w:pos="0"/>
        </w:tabs>
        <w:ind w:left="360"/>
        <w:rPr>
          <w:rFonts w:ascii="Arial" w:hAnsi="Arial" w:cs="Arial"/>
        </w:rPr>
      </w:pPr>
    </w:p>
    <w:p w14:paraId="67E6B8CD" w14:textId="77777777" w:rsidR="00E3289C" w:rsidRDefault="00E3289C" w:rsidP="00D60EFC">
      <w:pPr>
        <w:widowControl w:val="0"/>
        <w:numPr>
          <w:ilvl w:val="2"/>
          <w:numId w:val="20"/>
        </w:numPr>
        <w:ind w:left="709" w:hanging="709"/>
        <w:jc w:val="both"/>
        <w:rPr>
          <w:rFonts w:ascii="Arial" w:hAnsi="Arial" w:cs="Arial"/>
        </w:rPr>
      </w:pPr>
      <w:r w:rsidRPr="006E4332">
        <w:rPr>
          <w:rFonts w:ascii="Arial" w:hAnsi="Arial" w:cs="Arial"/>
        </w:rPr>
        <w:t>This prudential indicator is a summary of the Council’s capital expenditure plans as set out in the proposed Capital Programme 202</w:t>
      </w:r>
      <w:r>
        <w:rPr>
          <w:rFonts w:ascii="Arial" w:hAnsi="Arial" w:cs="Arial"/>
        </w:rPr>
        <w:t>5</w:t>
      </w:r>
      <w:r w:rsidRPr="006E4332">
        <w:rPr>
          <w:rFonts w:ascii="Arial" w:hAnsi="Arial" w:cs="Arial"/>
        </w:rPr>
        <w:t>/2</w:t>
      </w:r>
      <w:r>
        <w:rPr>
          <w:rFonts w:ascii="Arial" w:hAnsi="Arial" w:cs="Arial"/>
        </w:rPr>
        <w:t>6</w:t>
      </w:r>
      <w:r w:rsidRPr="006E4332">
        <w:rPr>
          <w:rFonts w:ascii="Arial" w:hAnsi="Arial" w:cs="Arial"/>
        </w:rPr>
        <w:t xml:space="preserve"> to 202</w:t>
      </w:r>
      <w:r>
        <w:rPr>
          <w:rFonts w:ascii="Arial" w:hAnsi="Arial" w:cs="Arial"/>
        </w:rPr>
        <w:t>8</w:t>
      </w:r>
      <w:r w:rsidRPr="006E4332">
        <w:rPr>
          <w:rFonts w:ascii="Arial" w:hAnsi="Arial" w:cs="Arial"/>
        </w:rPr>
        <w:t>/2</w:t>
      </w:r>
      <w:r>
        <w:rPr>
          <w:rFonts w:ascii="Arial" w:hAnsi="Arial" w:cs="Arial"/>
        </w:rPr>
        <w:t>9</w:t>
      </w:r>
      <w:r w:rsidRPr="006E4332">
        <w:rPr>
          <w:rFonts w:ascii="Arial" w:hAnsi="Arial" w:cs="Arial"/>
        </w:rPr>
        <w:t xml:space="preserve"> (report ref </w:t>
      </w:r>
      <w:r w:rsidRPr="008831C3">
        <w:rPr>
          <w:rFonts w:ascii="Arial" w:hAnsi="Arial" w:cs="Arial"/>
        </w:rPr>
        <w:t>CAB/26/79</w:t>
      </w:r>
      <w:r w:rsidRPr="006E4332">
        <w:rPr>
          <w:rFonts w:ascii="Arial" w:hAnsi="Arial" w:cs="Arial"/>
        </w:rPr>
        <w:t>) summarised below in Table 1.</w:t>
      </w:r>
    </w:p>
    <w:p w14:paraId="194C745B" w14:textId="77777777" w:rsidR="00E3289C" w:rsidRPr="004C0E9E" w:rsidRDefault="00E3289C" w:rsidP="00E3289C">
      <w:pPr>
        <w:widowControl w:val="0"/>
        <w:ind w:left="709"/>
        <w:jc w:val="both"/>
        <w:rPr>
          <w:rFonts w:ascii="Arial" w:hAnsi="Arial" w:cs="Arial"/>
        </w:rPr>
      </w:pPr>
    </w:p>
    <w:p w14:paraId="25187F68" w14:textId="0C3ABD9A" w:rsidR="00E3289C" w:rsidRDefault="00E3289C" w:rsidP="00B4303B">
      <w:pPr>
        <w:pStyle w:val="BodyText"/>
        <w:keepNext/>
        <w:widowControl w:val="0"/>
        <w:ind w:left="709"/>
        <w:rPr>
          <w:b/>
        </w:rPr>
      </w:pPr>
      <w:r w:rsidRPr="0000138C">
        <w:rPr>
          <w:b/>
        </w:rPr>
        <w:t>Table 1 - Capital Expenditur</w:t>
      </w:r>
      <w:r>
        <w:rPr>
          <w:b/>
        </w:rPr>
        <w:t>e</w:t>
      </w:r>
    </w:p>
    <w:p w14:paraId="44886D6D" w14:textId="77777777" w:rsidR="00025FA2" w:rsidRDefault="00025FA2" w:rsidP="00B4303B">
      <w:pPr>
        <w:pStyle w:val="BodyText"/>
        <w:keepNext/>
        <w:widowControl w:val="0"/>
        <w:rPr>
          <w:b/>
        </w:rPr>
      </w:pPr>
    </w:p>
    <w:p w14:paraId="219BCA56" w14:textId="4E822649" w:rsidR="00E3289C" w:rsidRPr="002053CC" w:rsidRDefault="00025FA2" w:rsidP="00B4303B">
      <w:pPr>
        <w:widowControl w:val="0"/>
        <w:ind w:left="709"/>
        <w:jc w:val="both"/>
        <w:rPr>
          <w:rFonts w:ascii="Arial" w:hAnsi="Arial" w:cs="Arial"/>
        </w:rPr>
      </w:pPr>
      <w:r w:rsidRPr="00025FA2">
        <w:rPr>
          <w:rFonts w:ascii="Arial" w:hAnsi="Arial" w:cs="Arial"/>
          <w:noProof/>
          <w:lang w:eastAsia="en-GB"/>
        </w:rPr>
        <w:drawing>
          <wp:inline distT="0" distB="0" distL="0" distR="0" wp14:anchorId="7203A1DF" wp14:editId="502B571D">
            <wp:extent cx="5279366" cy="17347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93711" cy="1739497"/>
                    </a:xfrm>
                    <a:prstGeom prst="rect">
                      <a:avLst/>
                    </a:prstGeom>
                  </pic:spPr>
                </pic:pic>
              </a:graphicData>
            </a:graphic>
          </wp:inline>
        </w:drawing>
      </w:r>
    </w:p>
    <w:p w14:paraId="70AE0574" w14:textId="77777777" w:rsidR="00E3289C" w:rsidRPr="002053CC" w:rsidRDefault="00E3289C" w:rsidP="00E3289C">
      <w:pPr>
        <w:widowControl w:val="0"/>
        <w:jc w:val="both"/>
        <w:rPr>
          <w:rFonts w:ascii="Arial" w:hAnsi="Arial" w:cs="Arial"/>
        </w:rPr>
      </w:pPr>
    </w:p>
    <w:p w14:paraId="5F142687" w14:textId="77777777" w:rsidR="00E3289C" w:rsidRPr="008831C3" w:rsidRDefault="00E3289C" w:rsidP="00D60EFC">
      <w:pPr>
        <w:widowControl w:val="0"/>
        <w:numPr>
          <w:ilvl w:val="2"/>
          <w:numId w:val="20"/>
        </w:numPr>
        <w:ind w:left="709" w:hanging="709"/>
        <w:jc w:val="both"/>
        <w:rPr>
          <w:rFonts w:ascii="Arial" w:hAnsi="Arial" w:cs="Arial"/>
        </w:rPr>
      </w:pPr>
      <w:r w:rsidRPr="002053CC">
        <w:rPr>
          <w:rFonts w:ascii="Arial" w:hAnsi="Arial" w:cs="Arial"/>
        </w:rPr>
        <w:t xml:space="preserve">Table 2 below further summarises how these capital expenditure plans are to be financed from capital or revenue resources with any shortfall in available resources resulting in a funding borrowing need. </w:t>
      </w:r>
    </w:p>
    <w:p w14:paraId="2316FEC2" w14:textId="77777777" w:rsidR="00E3289C" w:rsidRDefault="00E3289C" w:rsidP="00E3289C">
      <w:pPr>
        <w:widowControl w:val="0"/>
        <w:jc w:val="both"/>
        <w:rPr>
          <w:rFonts w:ascii="Arial" w:hAnsi="Arial" w:cs="Arial"/>
          <w:b/>
          <w:highlight w:val="yellow"/>
        </w:rPr>
      </w:pPr>
    </w:p>
    <w:p w14:paraId="4A0AC571" w14:textId="77777777" w:rsidR="00E3289C" w:rsidRDefault="00E3289C" w:rsidP="00B4303B">
      <w:pPr>
        <w:widowControl w:val="0"/>
        <w:ind w:left="709"/>
        <w:jc w:val="both"/>
        <w:rPr>
          <w:rFonts w:ascii="Arial" w:hAnsi="Arial" w:cs="Arial"/>
          <w:b/>
        </w:rPr>
      </w:pPr>
      <w:r w:rsidRPr="002053CC">
        <w:rPr>
          <w:rFonts w:ascii="Arial" w:hAnsi="Arial" w:cs="Arial"/>
          <w:b/>
        </w:rPr>
        <w:t>Table 2: Funding of Capital Expenditure</w:t>
      </w:r>
    </w:p>
    <w:p w14:paraId="1A456C7A" w14:textId="2FB5A14C" w:rsidR="00E3289C" w:rsidRDefault="00E3289C" w:rsidP="00025FA2">
      <w:pPr>
        <w:widowControl w:val="0"/>
        <w:jc w:val="both"/>
        <w:rPr>
          <w:noProof/>
          <w:lang w:eastAsia="en-GB"/>
        </w:rPr>
      </w:pPr>
    </w:p>
    <w:p w14:paraId="65F9BF04" w14:textId="220B0E2B" w:rsidR="00025FA2" w:rsidRDefault="00025FA2" w:rsidP="00B4303B">
      <w:pPr>
        <w:widowControl w:val="0"/>
        <w:ind w:left="709"/>
        <w:jc w:val="both"/>
        <w:rPr>
          <w:noProof/>
          <w:lang w:eastAsia="en-GB"/>
        </w:rPr>
      </w:pPr>
      <w:r w:rsidRPr="00025FA2">
        <w:rPr>
          <w:noProof/>
          <w:lang w:eastAsia="en-GB"/>
        </w:rPr>
        <w:drawing>
          <wp:inline distT="0" distB="0" distL="0" distR="0" wp14:anchorId="4083BF53" wp14:editId="3413ECB4">
            <wp:extent cx="5270739" cy="2177451"/>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9972" cy="2181266"/>
                    </a:xfrm>
                    <a:prstGeom prst="rect">
                      <a:avLst/>
                    </a:prstGeom>
                  </pic:spPr>
                </pic:pic>
              </a:graphicData>
            </a:graphic>
          </wp:inline>
        </w:drawing>
      </w:r>
    </w:p>
    <w:p w14:paraId="1D2B5CF8" w14:textId="5102DFE5" w:rsidR="00025FA2" w:rsidRDefault="00025FA2" w:rsidP="00025FA2">
      <w:pPr>
        <w:widowControl w:val="0"/>
        <w:jc w:val="both"/>
        <w:rPr>
          <w:noProof/>
          <w:lang w:eastAsia="en-GB"/>
        </w:rPr>
      </w:pPr>
    </w:p>
    <w:p w14:paraId="765428DB" w14:textId="62391346" w:rsidR="00025FA2" w:rsidRDefault="00025FA2" w:rsidP="00B4303B">
      <w:pPr>
        <w:widowControl w:val="0"/>
        <w:ind w:left="709"/>
        <w:jc w:val="both"/>
        <w:rPr>
          <w:noProof/>
          <w:lang w:eastAsia="en-GB"/>
        </w:rPr>
      </w:pPr>
      <w:r w:rsidRPr="00025FA2">
        <w:rPr>
          <w:noProof/>
          <w:lang w:eastAsia="en-GB"/>
        </w:rPr>
        <w:drawing>
          <wp:inline distT="0" distB="0" distL="0" distR="0" wp14:anchorId="42A5478F" wp14:editId="3D7933C2">
            <wp:extent cx="5296618" cy="2016862"/>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14285" cy="2023589"/>
                    </a:xfrm>
                    <a:prstGeom prst="rect">
                      <a:avLst/>
                    </a:prstGeom>
                  </pic:spPr>
                </pic:pic>
              </a:graphicData>
            </a:graphic>
          </wp:inline>
        </w:drawing>
      </w:r>
    </w:p>
    <w:p w14:paraId="02F809C7" w14:textId="537FAF48" w:rsidR="00E3289C" w:rsidRPr="002053CC" w:rsidRDefault="00E3289C" w:rsidP="00E3289C">
      <w:pPr>
        <w:widowControl w:val="0"/>
        <w:jc w:val="both"/>
        <w:rPr>
          <w:rFonts w:ascii="Arial" w:hAnsi="Arial" w:cs="Arial"/>
        </w:rPr>
      </w:pPr>
    </w:p>
    <w:p w14:paraId="7470F138" w14:textId="77777777" w:rsidR="00E3289C" w:rsidRPr="00F41181" w:rsidRDefault="00E3289C" w:rsidP="00D60EFC">
      <w:pPr>
        <w:widowControl w:val="0"/>
        <w:numPr>
          <w:ilvl w:val="2"/>
          <w:numId w:val="20"/>
        </w:numPr>
        <w:ind w:left="709" w:hanging="709"/>
        <w:jc w:val="both"/>
        <w:rPr>
          <w:rFonts w:ascii="Arial" w:hAnsi="Arial" w:cs="Arial"/>
        </w:rPr>
      </w:pPr>
      <w:bookmarkStart w:id="2" w:name="_Toc339459869"/>
      <w:r w:rsidRPr="002053CC">
        <w:rPr>
          <w:rFonts w:ascii="Arial" w:hAnsi="Arial" w:cs="Arial"/>
        </w:rPr>
        <w:t xml:space="preserve">The programme as set out above, </w:t>
      </w:r>
      <w:r>
        <w:rPr>
          <w:rFonts w:ascii="Arial" w:hAnsi="Arial" w:cs="Arial"/>
        </w:rPr>
        <w:t xml:space="preserve">which is subject to full Council approval at its February 2026 meeting, </w:t>
      </w:r>
      <w:r w:rsidRPr="002053CC">
        <w:rPr>
          <w:rFonts w:ascii="Arial" w:hAnsi="Arial" w:cs="Arial"/>
        </w:rPr>
        <w:t>excludes the £50m loan funding that the Council has approved in principle to advance to Hertsmere Development Limited</w:t>
      </w:r>
      <w:r>
        <w:rPr>
          <w:rFonts w:ascii="Arial" w:hAnsi="Arial" w:cs="Arial"/>
        </w:rPr>
        <w:t xml:space="preserve"> (HDL), save for already individually approved project funding</w:t>
      </w:r>
      <w:r w:rsidRPr="002053CC">
        <w:rPr>
          <w:rFonts w:ascii="Arial" w:hAnsi="Arial" w:cs="Arial"/>
        </w:rPr>
        <w:t xml:space="preserve">. </w:t>
      </w:r>
      <w:r>
        <w:rPr>
          <w:rFonts w:ascii="Arial" w:hAnsi="Arial" w:cs="Arial"/>
        </w:rPr>
        <w:t>Under the delegated authority agreed by Council, e</w:t>
      </w:r>
      <w:r w:rsidRPr="002053CC">
        <w:rPr>
          <w:rFonts w:ascii="Arial" w:hAnsi="Arial" w:cs="Arial"/>
        </w:rPr>
        <w:t xml:space="preserve">ach </w:t>
      </w:r>
      <w:r>
        <w:rPr>
          <w:rFonts w:ascii="Arial" w:hAnsi="Arial" w:cs="Arial"/>
        </w:rPr>
        <w:t xml:space="preserve">HDL </w:t>
      </w:r>
      <w:r w:rsidRPr="002053CC">
        <w:rPr>
          <w:rFonts w:ascii="Arial" w:hAnsi="Arial" w:cs="Arial"/>
        </w:rPr>
        <w:t xml:space="preserve">bid for funding will be presented </w:t>
      </w:r>
      <w:r>
        <w:rPr>
          <w:rFonts w:ascii="Arial" w:hAnsi="Arial" w:cs="Arial"/>
        </w:rPr>
        <w:t xml:space="preserve">to Cabinet </w:t>
      </w:r>
      <w:r w:rsidRPr="002053CC">
        <w:rPr>
          <w:rFonts w:ascii="Arial" w:hAnsi="Arial" w:cs="Arial"/>
        </w:rPr>
        <w:t xml:space="preserve">and considered on its own merits and </w:t>
      </w:r>
      <w:r>
        <w:rPr>
          <w:rFonts w:ascii="Arial" w:hAnsi="Arial" w:cs="Arial"/>
        </w:rPr>
        <w:t>if approved by Cabinet will then be added to the capital programme</w:t>
      </w:r>
      <w:r w:rsidRPr="002053CC">
        <w:rPr>
          <w:rFonts w:ascii="Arial" w:hAnsi="Arial" w:cs="Arial"/>
        </w:rPr>
        <w:t xml:space="preserve">. The maximum that the </w:t>
      </w:r>
      <w:r>
        <w:rPr>
          <w:rFonts w:ascii="Arial" w:hAnsi="Arial" w:cs="Arial"/>
        </w:rPr>
        <w:t>Cabinet can approve to</w:t>
      </w:r>
      <w:r w:rsidRPr="002053CC">
        <w:rPr>
          <w:rFonts w:ascii="Arial" w:hAnsi="Arial" w:cs="Arial"/>
        </w:rPr>
        <w:t xml:space="preserve"> advance in any one year will not exceed £10m.</w:t>
      </w:r>
    </w:p>
    <w:p w14:paraId="2BE2EEC5" w14:textId="77777777" w:rsidR="00E3289C" w:rsidRPr="002053CC" w:rsidRDefault="00E3289C" w:rsidP="00E3289C">
      <w:pPr>
        <w:pStyle w:val="ListParagraph"/>
        <w:ind w:left="1440"/>
        <w:rPr>
          <w:rFonts w:ascii="Arial" w:hAnsi="Arial" w:cs="Arial"/>
        </w:rPr>
      </w:pPr>
    </w:p>
    <w:p w14:paraId="3BEEC4EC" w14:textId="77777777" w:rsidR="00E3289C" w:rsidRDefault="00E3289C" w:rsidP="00D60EFC">
      <w:pPr>
        <w:widowControl w:val="0"/>
        <w:numPr>
          <w:ilvl w:val="2"/>
          <w:numId w:val="20"/>
        </w:numPr>
        <w:ind w:left="709" w:hanging="709"/>
        <w:jc w:val="both"/>
        <w:rPr>
          <w:rFonts w:ascii="Arial" w:hAnsi="Arial" w:cs="Arial"/>
        </w:rPr>
      </w:pPr>
      <w:r w:rsidRPr="002053CC">
        <w:rPr>
          <w:rFonts w:ascii="Arial" w:hAnsi="Arial" w:cs="Arial"/>
        </w:rPr>
        <w:t>Loan funding to HDL will support the delivery of its approved Business Plan through provision of Working Capital and Development Loans. The advances, when made, will where possible be financed from internal borrowing as these loans will likely be short term and repaid from the sale proceeds of completed units. The Council has access to cheaper borrowing than would be available to the Company, and under Subsidy Control rules, the Council must charge the Company a ‘market rate’, i.e. a rate commensurate with the rate available to the Company by financial institutions.</w:t>
      </w:r>
    </w:p>
    <w:p w14:paraId="520564E7" w14:textId="77777777" w:rsidR="00E3289C" w:rsidRDefault="00E3289C" w:rsidP="00E3289C">
      <w:pPr>
        <w:widowControl w:val="0"/>
        <w:ind w:left="709"/>
        <w:jc w:val="both"/>
        <w:rPr>
          <w:rFonts w:ascii="Arial" w:hAnsi="Arial" w:cs="Arial"/>
        </w:rPr>
      </w:pPr>
    </w:p>
    <w:p w14:paraId="33FCE396" w14:textId="77777777" w:rsidR="00E3289C" w:rsidRPr="004C0E9E" w:rsidRDefault="00E3289C" w:rsidP="00D60EFC">
      <w:pPr>
        <w:widowControl w:val="0"/>
        <w:numPr>
          <w:ilvl w:val="2"/>
          <w:numId w:val="20"/>
        </w:numPr>
        <w:ind w:left="709" w:hanging="709"/>
        <w:jc w:val="both"/>
        <w:rPr>
          <w:rFonts w:ascii="Arial" w:hAnsi="Arial" w:cs="Arial"/>
        </w:rPr>
      </w:pPr>
      <w:r>
        <w:rPr>
          <w:rFonts w:ascii="Arial" w:hAnsi="Arial" w:cs="Arial"/>
        </w:rPr>
        <w:t xml:space="preserve">To date </w:t>
      </w:r>
      <w:r w:rsidRPr="009530EC">
        <w:rPr>
          <w:rFonts w:ascii="Arial" w:hAnsi="Arial" w:cs="Arial"/>
        </w:rPr>
        <w:t xml:space="preserve">the Cabinet have </w:t>
      </w:r>
      <w:r w:rsidRPr="00F23A42">
        <w:rPr>
          <w:rFonts w:ascii="Arial" w:hAnsi="Arial" w:cs="Arial"/>
        </w:rPr>
        <w:t>approved two funding bids</w:t>
      </w:r>
      <w:r w:rsidRPr="009530EC">
        <w:rPr>
          <w:rFonts w:ascii="Arial" w:hAnsi="Arial" w:cs="Arial"/>
        </w:rPr>
        <w:t xml:space="preserve"> from</w:t>
      </w:r>
      <w:r>
        <w:rPr>
          <w:rFonts w:ascii="Arial" w:hAnsi="Arial" w:cs="Arial"/>
        </w:rPr>
        <w:t xml:space="preserve"> HDL in relation to developments at Clarendon Road and Eldon Avenue. The Clarendon Road development was delivered in </w:t>
      </w:r>
      <w:proofErr w:type="gramStart"/>
      <w:r>
        <w:rPr>
          <w:rFonts w:ascii="Arial" w:hAnsi="Arial" w:cs="Arial"/>
        </w:rPr>
        <w:t>2023/24</w:t>
      </w:r>
      <w:proofErr w:type="gramEnd"/>
      <w:r>
        <w:rPr>
          <w:rFonts w:ascii="Arial" w:hAnsi="Arial" w:cs="Arial"/>
        </w:rPr>
        <w:t xml:space="preserve"> and this loan funding has since been fully repaid. The Eldon Road development was completed in December 2024 with sale of the completed housing units to Hertsmere Living Limited completing in January 2025 when this loan funding was also repaid. </w:t>
      </w:r>
    </w:p>
    <w:p w14:paraId="07B3BA07" w14:textId="77777777" w:rsidR="00E3289C" w:rsidRPr="005C435D" w:rsidRDefault="00E3289C" w:rsidP="00E3289C">
      <w:pPr>
        <w:pStyle w:val="ListParagraph"/>
        <w:widowControl w:val="0"/>
        <w:ind w:left="0"/>
        <w:rPr>
          <w:rFonts w:ascii="Arial" w:hAnsi="Arial" w:cs="Arial"/>
          <w:highlight w:val="yellow"/>
        </w:rPr>
      </w:pPr>
    </w:p>
    <w:p w14:paraId="14F44B6E" w14:textId="77777777" w:rsidR="00E3289C" w:rsidRPr="002053CC" w:rsidRDefault="00E3289C" w:rsidP="00D60EFC">
      <w:pPr>
        <w:widowControl w:val="0"/>
        <w:numPr>
          <w:ilvl w:val="1"/>
          <w:numId w:val="20"/>
        </w:numPr>
        <w:ind w:left="567" w:hanging="567"/>
        <w:rPr>
          <w:rFonts w:ascii="Arial" w:hAnsi="Arial" w:cs="Arial"/>
          <w:b/>
        </w:rPr>
      </w:pPr>
      <w:r w:rsidRPr="002053CC">
        <w:rPr>
          <w:rFonts w:ascii="Arial" w:hAnsi="Arial" w:cs="Arial"/>
          <w:b/>
        </w:rPr>
        <w:t xml:space="preserve">The Council’s borrowing need (The Capital Financing Requirement) </w:t>
      </w:r>
      <w:bookmarkEnd w:id="2"/>
    </w:p>
    <w:p w14:paraId="7AFE66DE" w14:textId="77777777" w:rsidR="00E3289C" w:rsidRPr="002053CC" w:rsidRDefault="00E3289C" w:rsidP="00E3289C">
      <w:pPr>
        <w:widowControl w:val="0"/>
        <w:tabs>
          <w:tab w:val="left" w:pos="0"/>
        </w:tabs>
        <w:ind w:right="-268"/>
        <w:rPr>
          <w:rFonts w:ascii="Arial" w:hAnsi="Arial" w:cs="Arial"/>
        </w:rPr>
      </w:pPr>
    </w:p>
    <w:p w14:paraId="0CBD3D6D" w14:textId="77777777" w:rsidR="00E3289C" w:rsidRPr="002053CC" w:rsidRDefault="00E3289C" w:rsidP="00D60EFC">
      <w:pPr>
        <w:widowControl w:val="0"/>
        <w:numPr>
          <w:ilvl w:val="2"/>
          <w:numId w:val="20"/>
        </w:numPr>
        <w:ind w:left="709" w:hanging="709"/>
        <w:jc w:val="both"/>
        <w:rPr>
          <w:rFonts w:ascii="Arial" w:hAnsi="Arial" w:cs="Arial"/>
        </w:rPr>
      </w:pPr>
      <w:r w:rsidRPr="002053CC">
        <w:rPr>
          <w:rFonts w:ascii="Arial" w:hAnsi="Arial" w:cs="Arial"/>
        </w:rPr>
        <w:t>The second prudential indicator is the Council’s Capital Financing Requirement (CFR).  The CFR is quite simply the total outstanding capital expenditure that has not yet been funded from either revenue or capital resources. It is essentially a measure of the Council’s underlying borrowing need. Any capital expenditure that is not immediately funded will increase the CFR.</w:t>
      </w:r>
    </w:p>
    <w:p w14:paraId="52EA2BEE" w14:textId="77777777" w:rsidR="00E3289C" w:rsidRPr="002053CC" w:rsidRDefault="00E3289C" w:rsidP="00E3289C">
      <w:pPr>
        <w:widowControl w:val="0"/>
        <w:ind w:left="709"/>
        <w:jc w:val="both"/>
        <w:rPr>
          <w:rFonts w:ascii="Arial" w:hAnsi="Arial" w:cs="Arial"/>
        </w:rPr>
      </w:pPr>
    </w:p>
    <w:p w14:paraId="7CA41F2D" w14:textId="77777777" w:rsidR="00E3289C" w:rsidRPr="00426552" w:rsidRDefault="00E3289C" w:rsidP="00D60EFC">
      <w:pPr>
        <w:widowControl w:val="0"/>
        <w:numPr>
          <w:ilvl w:val="2"/>
          <w:numId w:val="20"/>
        </w:numPr>
        <w:ind w:left="709" w:hanging="709"/>
        <w:jc w:val="both"/>
        <w:rPr>
          <w:rFonts w:ascii="Arial" w:hAnsi="Arial" w:cs="Arial"/>
        </w:rPr>
      </w:pPr>
      <w:r w:rsidRPr="002053CC">
        <w:rPr>
          <w:rFonts w:ascii="Arial" w:hAnsi="Arial" w:cs="Arial"/>
        </w:rPr>
        <w:t xml:space="preserve">The CFR cannot increase indefinitely as the Council is required to set aside an amount each year from revenue to finance historical capital expenditure that was not financed in the year it was incurred. This minimum revenue provision (MRP) is a statutory annual revenue charge which broadly reduces the </w:t>
      </w:r>
      <w:r w:rsidRPr="00426552">
        <w:rPr>
          <w:rFonts w:ascii="Arial" w:hAnsi="Arial" w:cs="Arial"/>
        </w:rPr>
        <w:t>borrowing need in line with each assets expected useful life.</w:t>
      </w:r>
    </w:p>
    <w:p w14:paraId="3F4CF9C2" w14:textId="77777777" w:rsidR="00E3289C" w:rsidRPr="00426552" w:rsidRDefault="00E3289C" w:rsidP="00E3289C">
      <w:pPr>
        <w:pStyle w:val="ListParagraph"/>
        <w:rPr>
          <w:rFonts w:ascii="Arial" w:hAnsi="Arial" w:cs="Arial"/>
        </w:rPr>
      </w:pPr>
    </w:p>
    <w:p w14:paraId="07165D6C" w14:textId="77777777" w:rsidR="00E3289C" w:rsidRPr="002C1ACA" w:rsidRDefault="00E3289C" w:rsidP="00D60EFC">
      <w:pPr>
        <w:widowControl w:val="0"/>
        <w:numPr>
          <w:ilvl w:val="2"/>
          <w:numId w:val="20"/>
        </w:numPr>
        <w:ind w:left="709" w:hanging="709"/>
        <w:jc w:val="both"/>
        <w:rPr>
          <w:rFonts w:ascii="Arial" w:hAnsi="Arial" w:cs="Arial"/>
        </w:rPr>
      </w:pPr>
      <w:r w:rsidRPr="00F331C6">
        <w:rPr>
          <w:rFonts w:ascii="Arial" w:hAnsi="Arial" w:cs="Arial"/>
        </w:rPr>
        <w:t xml:space="preserve">The CFR position as </w:t>
      </w:r>
      <w:proofErr w:type="gramStart"/>
      <w:r w:rsidRPr="00F331C6">
        <w:rPr>
          <w:rFonts w:ascii="Arial" w:hAnsi="Arial" w:cs="Arial"/>
        </w:rPr>
        <w:t>at</w:t>
      </w:r>
      <w:proofErr w:type="gramEnd"/>
      <w:r w:rsidRPr="00F331C6">
        <w:rPr>
          <w:rFonts w:ascii="Arial" w:hAnsi="Arial" w:cs="Arial"/>
        </w:rPr>
        <w:t xml:space="preserve"> 31 March 202</w:t>
      </w:r>
      <w:r>
        <w:rPr>
          <w:rFonts w:ascii="Arial" w:hAnsi="Arial" w:cs="Arial"/>
        </w:rPr>
        <w:t>5</w:t>
      </w:r>
      <w:r w:rsidRPr="00F331C6">
        <w:rPr>
          <w:rFonts w:ascii="Arial" w:hAnsi="Arial" w:cs="Arial"/>
        </w:rPr>
        <w:t xml:space="preserve"> was </w:t>
      </w:r>
      <w:r w:rsidRPr="00F23A42">
        <w:rPr>
          <w:rFonts w:ascii="Arial" w:hAnsi="Arial" w:cs="Arial"/>
        </w:rPr>
        <w:t>£21.74m</w:t>
      </w:r>
      <w:r w:rsidRPr="00F331C6">
        <w:rPr>
          <w:rFonts w:ascii="Arial" w:hAnsi="Arial" w:cs="Arial"/>
        </w:rPr>
        <w:t xml:space="preserve"> and as shown below this is anticipated to reduce to </w:t>
      </w:r>
      <w:r w:rsidRPr="00F23A42">
        <w:rPr>
          <w:rFonts w:ascii="Arial" w:hAnsi="Arial" w:cs="Arial"/>
        </w:rPr>
        <w:t>£17.42m</w:t>
      </w:r>
      <w:r>
        <w:rPr>
          <w:rFonts w:ascii="Arial" w:hAnsi="Arial" w:cs="Arial"/>
        </w:rPr>
        <w:t xml:space="preserve"> by 2028/29</w:t>
      </w:r>
      <w:r w:rsidRPr="00F331C6">
        <w:rPr>
          <w:rFonts w:ascii="Arial" w:hAnsi="Arial" w:cs="Arial"/>
        </w:rPr>
        <w:t>.</w:t>
      </w:r>
    </w:p>
    <w:p w14:paraId="000AB8D4" w14:textId="77777777" w:rsidR="00E3289C" w:rsidRPr="00F331C6" w:rsidRDefault="00E3289C" w:rsidP="00E3289C">
      <w:pPr>
        <w:pStyle w:val="ListParagraph"/>
        <w:widowControl w:val="0"/>
        <w:rPr>
          <w:rFonts w:ascii="Arial" w:hAnsi="Arial" w:cs="Arial"/>
        </w:rPr>
      </w:pPr>
    </w:p>
    <w:p w14:paraId="36614028" w14:textId="77777777" w:rsidR="002C0F8C" w:rsidRDefault="00E3289C" w:rsidP="005D1B45">
      <w:pPr>
        <w:keepNext/>
        <w:widowControl w:val="0"/>
        <w:ind w:left="709"/>
        <w:jc w:val="both"/>
        <w:rPr>
          <w:rFonts w:ascii="Arial" w:hAnsi="Arial" w:cs="Arial"/>
          <w:b/>
        </w:rPr>
      </w:pPr>
      <w:r>
        <w:rPr>
          <w:rFonts w:ascii="Arial" w:hAnsi="Arial" w:cs="Arial"/>
          <w:b/>
        </w:rPr>
        <w:t>Table 3</w:t>
      </w:r>
      <w:r w:rsidRPr="00F331C6">
        <w:rPr>
          <w:rFonts w:ascii="Arial" w:hAnsi="Arial" w:cs="Arial"/>
          <w:b/>
        </w:rPr>
        <w:t xml:space="preserve"> – Capital Financing Requirement:</w:t>
      </w:r>
    </w:p>
    <w:p w14:paraId="4BE71FA4" w14:textId="77777777" w:rsidR="002C0F8C" w:rsidRPr="002C0F8C" w:rsidRDefault="002C0F8C" w:rsidP="005D1B45">
      <w:pPr>
        <w:keepNext/>
        <w:widowControl w:val="0"/>
        <w:jc w:val="both"/>
        <w:rPr>
          <w:rFonts w:ascii="Arial" w:hAnsi="Arial" w:cs="Arial"/>
          <w:b/>
        </w:rPr>
      </w:pPr>
    </w:p>
    <w:p w14:paraId="7CB5A746" w14:textId="6D879BF4" w:rsidR="002C0F8C" w:rsidRPr="00F23A42" w:rsidRDefault="007D71F3" w:rsidP="002C0F8C">
      <w:pPr>
        <w:widowControl w:val="0"/>
        <w:jc w:val="both"/>
        <w:rPr>
          <w:rFonts w:ascii="Arial" w:hAnsi="Arial" w:cs="Arial"/>
          <w:b/>
        </w:rPr>
      </w:pPr>
      <w:r w:rsidRPr="007D71F3">
        <w:rPr>
          <w:rFonts w:ascii="Arial" w:hAnsi="Arial" w:cs="Arial"/>
          <w:b/>
          <w:noProof/>
          <w:lang w:eastAsia="en-GB"/>
        </w:rPr>
        <w:drawing>
          <wp:inline distT="0" distB="0" distL="0" distR="0" wp14:anchorId="0676D462" wp14:editId="72E8DF10">
            <wp:extent cx="5731510" cy="271843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718435"/>
                    </a:xfrm>
                    <a:prstGeom prst="rect">
                      <a:avLst/>
                    </a:prstGeom>
                  </pic:spPr>
                </pic:pic>
              </a:graphicData>
            </a:graphic>
          </wp:inline>
        </w:drawing>
      </w:r>
    </w:p>
    <w:p w14:paraId="5FDF1A52" w14:textId="77777777" w:rsidR="00E3289C" w:rsidRPr="00F331C6" w:rsidRDefault="00E3289C" w:rsidP="002C0F8C">
      <w:pPr>
        <w:widowControl w:val="0"/>
        <w:jc w:val="both"/>
        <w:rPr>
          <w:rFonts w:ascii="Arial" w:hAnsi="Arial" w:cs="Arial"/>
          <w:b/>
          <w:sz w:val="20"/>
          <w:szCs w:val="20"/>
        </w:rPr>
      </w:pPr>
      <w:bookmarkStart w:id="3" w:name="_Toc339459870"/>
    </w:p>
    <w:p w14:paraId="0D01993A" w14:textId="77777777" w:rsidR="00E3289C" w:rsidRDefault="00E3289C" w:rsidP="00E3289C">
      <w:pPr>
        <w:widowControl w:val="0"/>
        <w:ind w:left="1276" w:hanging="567"/>
        <w:jc w:val="both"/>
        <w:rPr>
          <w:rFonts w:ascii="Arial" w:hAnsi="Arial" w:cs="Arial"/>
          <w:sz w:val="20"/>
          <w:szCs w:val="20"/>
        </w:rPr>
      </w:pPr>
      <w:r w:rsidRPr="00F331C6">
        <w:rPr>
          <w:rFonts w:ascii="Arial" w:hAnsi="Arial" w:cs="Arial"/>
          <w:b/>
          <w:sz w:val="20"/>
          <w:szCs w:val="20"/>
        </w:rPr>
        <w:t>N.B.:</w:t>
      </w:r>
      <w:r w:rsidRPr="00F331C6">
        <w:rPr>
          <w:rFonts w:ascii="Arial" w:hAnsi="Arial" w:cs="Arial"/>
          <w:b/>
          <w:sz w:val="20"/>
          <w:szCs w:val="20"/>
        </w:rPr>
        <w:tab/>
      </w:r>
      <w:r w:rsidRPr="00F331C6">
        <w:rPr>
          <w:rFonts w:ascii="Arial" w:hAnsi="Arial" w:cs="Arial"/>
          <w:sz w:val="20"/>
          <w:szCs w:val="20"/>
        </w:rPr>
        <w:t>the CFR reflects the current capital spending and financing requirements as set out in the draft Capital Programme 202</w:t>
      </w:r>
      <w:r>
        <w:rPr>
          <w:rFonts w:ascii="Arial" w:hAnsi="Arial" w:cs="Arial"/>
          <w:sz w:val="20"/>
          <w:szCs w:val="20"/>
        </w:rPr>
        <w:t>5</w:t>
      </w:r>
      <w:r w:rsidRPr="00F331C6">
        <w:rPr>
          <w:rFonts w:ascii="Arial" w:hAnsi="Arial" w:cs="Arial"/>
          <w:sz w:val="20"/>
          <w:szCs w:val="20"/>
        </w:rPr>
        <w:t>/2</w:t>
      </w:r>
      <w:r>
        <w:rPr>
          <w:rFonts w:ascii="Arial" w:hAnsi="Arial" w:cs="Arial"/>
          <w:sz w:val="20"/>
          <w:szCs w:val="20"/>
        </w:rPr>
        <w:t>6</w:t>
      </w:r>
      <w:r w:rsidRPr="00F331C6">
        <w:rPr>
          <w:rFonts w:ascii="Arial" w:hAnsi="Arial" w:cs="Arial"/>
          <w:sz w:val="20"/>
          <w:szCs w:val="20"/>
        </w:rPr>
        <w:t xml:space="preserve"> to 202</w:t>
      </w:r>
      <w:r>
        <w:rPr>
          <w:rFonts w:ascii="Arial" w:hAnsi="Arial" w:cs="Arial"/>
          <w:sz w:val="20"/>
          <w:szCs w:val="20"/>
        </w:rPr>
        <w:t>8</w:t>
      </w:r>
      <w:r w:rsidRPr="00F331C6">
        <w:rPr>
          <w:rFonts w:ascii="Arial" w:hAnsi="Arial" w:cs="Arial"/>
          <w:sz w:val="20"/>
          <w:szCs w:val="20"/>
        </w:rPr>
        <w:t>/2</w:t>
      </w:r>
      <w:r>
        <w:rPr>
          <w:rFonts w:ascii="Arial" w:hAnsi="Arial" w:cs="Arial"/>
          <w:sz w:val="20"/>
          <w:szCs w:val="20"/>
        </w:rPr>
        <w:t>9</w:t>
      </w:r>
      <w:r w:rsidRPr="00F331C6">
        <w:rPr>
          <w:rFonts w:ascii="Arial" w:hAnsi="Arial" w:cs="Arial"/>
          <w:sz w:val="20"/>
          <w:szCs w:val="20"/>
        </w:rPr>
        <w:t>.</w:t>
      </w:r>
    </w:p>
    <w:p w14:paraId="11600CF5" w14:textId="77777777" w:rsidR="00E3289C" w:rsidRDefault="00E3289C" w:rsidP="00E3289C">
      <w:pPr>
        <w:widowControl w:val="0"/>
        <w:ind w:left="1276" w:hanging="567"/>
        <w:jc w:val="both"/>
        <w:rPr>
          <w:rFonts w:ascii="Arial" w:hAnsi="Arial" w:cs="Arial"/>
          <w:sz w:val="20"/>
          <w:szCs w:val="20"/>
        </w:rPr>
      </w:pPr>
      <w:r>
        <w:rPr>
          <w:rFonts w:ascii="Arial" w:hAnsi="Arial" w:cs="Arial"/>
          <w:b/>
          <w:sz w:val="20"/>
          <w:szCs w:val="20"/>
        </w:rPr>
        <w:t xml:space="preserve">          *</w:t>
      </w:r>
      <w:r>
        <w:rPr>
          <w:rFonts w:ascii="Arial" w:hAnsi="Arial" w:cs="Arial"/>
          <w:sz w:val="20"/>
          <w:szCs w:val="20"/>
        </w:rPr>
        <w:t>The 2024/25 values are subject to external audit.</w:t>
      </w:r>
    </w:p>
    <w:p w14:paraId="2CDDC00A" w14:textId="77777777" w:rsidR="00E3289C" w:rsidRPr="0027487D" w:rsidRDefault="00E3289C" w:rsidP="00E3289C">
      <w:pPr>
        <w:widowControl w:val="0"/>
        <w:ind w:left="1276"/>
        <w:jc w:val="both"/>
        <w:rPr>
          <w:rFonts w:ascii="Arial" w:hAnsi="Arial" w:cs="Arial"/>
          <w:sz w:val="20"/>
          <w:szCs w:val="20"/>
        </w:rPr>
      </w:pPr>
      <w:r w:rsidRPr="0027487D">
        <w:rPr>
          <w:rFonts w:ascii="Arial" w:hAnsi="Arial" w:cs="Arial"/>
          <w:sz w:val="20"/>
          <w:szCs w:val="20"/>
        </w:rPr>
        <w:t>** The Capital Programme is subject to approval by full Council</w:t>
      </w:r>
    </w:p>
    <w:p w14:paraId="521CF97A" w14:textId="77777777" w:rsidR="00E3289C" w:rsidRPr="00226735" w:rsidRDefault="00E3289C" w:rsidP="00E3289C">
      <w:pPr>
        <w:widowControl w:val="0"/>
        <w:ind w:left="709"/>
        <w:rPr>
          <w:rFonts w:ascii="Arial" w:hAnsi="Arial" w:cs="Arial"/>
        </w:rPr>
      </w:pPr>
    </w:p>
    <w:p w14:paraId="3C9B9FDA" w14:textId="77777777" w:rsidR="00E3289C" w:rsidRPr="002053CC" w:rsidRDefault="00E3289C" w:rsidP="005D1B45">
      <w:pPr>
        <w:keepNext/>
        <w:widowControl w:val="0"/>
        <w:numPr>
          <w:ilvl w:val="1"/>
          <w:numId w:val="20"/>
        </w:numPr>
        <w:ind w:left="709" w:hanging="709"/>
        <w:rPr>
          <w:rFonts w:ascii="Arial" w:hAnsi="Arial" w:cs="Arial"/>
          <w:b/>
        </w:rPr>
      </w:pPr>
      <w:r w:rsidRPr="002053CC">
        <w:rPr>
          <w:rFonts w:ascii="Arial" w:hAnsi="Arial" w:cs="Arial"/>
          <w:b/>
        </w:rPr>
        <w:lastRenderedPageBreak/>
        <w:t>Adjustment A</w:t>
      </w:r>
    </w:p>
    <w:p w14:paraId="39504291" w14:textId="77777777" w:rsidR="00E3289C" w:rsidRPr="002053CC" w:rsidRDefault="00E3289C" w:rsidP="00E3289C">
      <w:pPr>
        <w:keepNext/>
        <w:widowControl w:val="0"/>
        <w:jc w:val="both"/>
        <w:rPr>
          <w:rFonts w:ascii="Arial" w:hAnsi="Arial" w:cs="Arial"/>
          <w:b/>
        </w:rPr>
      </w:pPr>
    </w:p>
    <w:p w14:paraId="57167C62" w14:textId="77777777" w:rsidR="00E3289C" w:rsidRPr="002053CC" w:rsidRDefault="00E3289C" w:rsidP="00D60EFC">
      <w:pPr>
        <w:widowControl w:val="0"/>
        <w:numPr>
          <w:ilvl w:val="2"/>
          <w:numId w:val="20"/>
        </w:numPr>
        <w:ind w:left="709" w:hanging="709"/>
        <w:jc w:val="both"/>
        <w:rPr>
          <w:rFonts w:ascii="Arial" w:hAnsi="Arial" w:cs="Arial"/>
        </w:rPr>
      </w:pPr>
      <w:r w:rsidRPr="002053CC">
        <w:rPr>
          <w:rFonts w:ascii="Arial" w:hAnsi="Arial" w:cs="Arial"/>
        </w:rPr>
        <w:t xml:space="preserve">The CFR includes an element known as “Adjustment A”, which dates back to a change in accounting practice in 2007 and represents unfunded capital spend as at that date which could not be classified against individual Council assets. For Hertsmere the “Adjustment A” relates to the Council’s Leisure Centres now managed under full repairing leases by </w:t>
      </w:r>
      <w:proofErr w:type="spellStart"/>
      <w:r w:rsidRPr="002053CC">
        <w:rPr>
          <w:rFonts w:ascii="Arial" w:hAnsi="Arial" w:cs="Arial"/>
        </w:rPr>
        <w:t>InspireAll</w:t>
      </w:r>
      <w:proofErr w:type="spellEnd"/>
      <w:r w:rsidRPr="002053CC">
        <w:rPr>
          <w:rFonts w:ascii="Arial" w:hAnsi="Arial" w:cs="Arial"/>
        </w:rPr>
        <w:t xml:space="preserve"> (previously known as Hertsmere Leisure Trust). Historically the CFR figure was calculated less the “adjustment A”, as allowed under Capital Accounting guidance.</w:t>
      </w:r>
    </w:p>
    <w:p w14:paraId="14AE8EED" w14:textId="77777777" w:rsidR="00E3289C" w:rsidRPr="002053CC" w:rsidRDefault="00E3289C" w:rsidP="00E3289C">
      <w:pPr>
        <w:widowControl w:val="0"/>
        <w:tabs>
          <w:tab w:val="left" w:pos="-142"/>
        </w:tabs>
        <w:jc w:val="both"/>
        <w:rPr>
          <w:rFonts w:ascii="Arial" w:hAnsi="Arial" w:cs="Arial"/>
        </w:rPr>
      </w:pPr>
    </w:p>
    <w:p w14:paraId="07ADCCFA" w14:textId="77777777" w:rsidR="00E3289C" w:rsidRPr="002053CC" w:rsidRDefault="00E3289C" w:rsidP="00D60EFC">
      <w:pPr>
        <w:widowControl w:val="0"/>
        <w:numPr>
          <w:ilvl w:val="2"/>
          <w:numId w:val="20"/>
        </w:numPr>
        <w:ind w:left="709" w:hanging="709"/>
        <w:jc w:val="both"/>
        <w:rPr>
          <w:rFonts w:ascii="Arial" w:hAnsi="Arial" w:cs="Arial"/>
        </w:rPr>
      </w:pPr>
      <w:r w:rsidRPr="002053CC">
        <w:rPr>
          <w:rFonts w:ascii="Arial" w:hAnsi="Arial" w:cs="Arial"/>
        </w:rPr>
        <w:t xml:space="preserve">This position was reviewed during 2015/16 and the Adjustment </w:t>
      </w:r>
      <w:proofErr w:type="spellStart"/>
      <w:r w:rsidRPr="002053CC">
        <w:rPr>
          <w:rFonts w:ascii="Arial" w:hAnsi="Arial" w:cs="Arial"/>
        </w:rPr>
        <w:t>A</w:t>
      </w:r>
      <w:proofErr w:type="spellEnd"/>
      <w:r w:rsidRPr="002053CC">
        <w:rPr>
          <w:rFonts w:ascii="Arial" w:hAnsi="Arial" w:cs="Arial"/>
        </w:rPr>
        <w:t xml:space="preserve"> element of then £9.9m was added to the CFR which had at that time been zero. Given that Hertsmere </w:t>
      </w:r>
      <w:r>
        <w:rPr>
          <w:rFonts w:ascii="Arial" w:hAnsi="Arial" w:cs="Arial"/>
        </w:rPr>
        <w:t xml:space="preserve">was </w:t>
      </w:r>
      <w:r w:rsidRPr="002053CC">
        <w:rPr>
          <w:rFonts w:ascii="Arial" w:hAnsi="Arial" w:cs="Arial"/>
        </w:rPr>
        <w:t>looking at significant capital investment requir</w:t>
      </w:r>
      <w:r>
        <w:rPr>
          <w:rFonts w:ascii="Arial" w:hAnsi="Arial" w:cs="Arial"/>
        </w:rPr>
        <w:t>ing</w:t>
      </w:r>
      <w:r w:rsidRPr="002053CC">
        <w:rPr>
          <w:rFonts w:ascii="Arial" w:hAnsi="Arial" w:cs="Arial"/>
        </w:rPr>
        <w:t xml:space="preserve"> some borrowing, thereby increasing the Council’s CFR, also being mindful of the Prudential Code’s guidance on affordability, a voluntary contribution of £</w:t>
      </w:r>
      <w:r>
        <w:rPr>
          <w:rFonts w:ascii="Arial" w:hAnsi="Arial" w:cs="Arial"/>
        </w:rPr>
        <w:t>3.998m</w:t>
      </w:r>
      <w:r w:rsidRPr="002053CC">
        <w:rPr>
          <w:rFonts w:ascii="Arial" w:hAnsi="Arial" w:cs="Arial"/>
        </w:rPr>
        <w:t xml:space="preserve"> was set aside to reduce the CFR to £5.9m at that time. </w:t>
      </w:r>
    </w:p>
    <w:p w14:paraId="319D531C" w14:textId="77777777" w:rsidR="00E3289C" w:rsidRPr="002053CC" w:rsidRDefault="00E3289C" w:rsidP="00E3289C">
      <w:pPr>
        <w:pStyle w:val="ListParagraph"/>
        <w:rPr>
          <w:rFonts w:ascii="Arial" w:hAnsi="Arial" w:cs="Arial"/>
        </w:rPr>
      </w:pPr>
    </w:p>
    <w:p w14:paraId="7B8A2D2A" w14:textId="77777777" w:rsidR="00E3289C" w:rsidRPr="002F2F50" w:rsidRDefault="00E3289C" w:rsidP="00D60EFC">
      <w:pPr>
        <w:widowControl w:val="0"/>
        <w:numPr>
          <w:ilvl w:val="2"/>
          <w:numId w:val="20"/>
        </w:numPr>
        <w:ind w:left="709" w:hanging="709"/>
        <w:jc w:val="both"/>
        <w:rPr>
          <w:rFonts w:ascii="Arial" w:hAnsi="Arial" w:cs="Arial"/>
        </w:rPr>
      </w:pPr>
      <w:r w:rsidRPr="002053CC">
        <w:rPr>
          <w:rFonts w:ascii="Arial" w:hAnsi="Arial" w:cs="Arial"/>
        </w:rPr>
        <w:t xml:space="preserve">The Council has continued to make an ongoing contribution from revenue as part of the base revenue </w:t>
      </w:r>
      <w:proofErr w:type="gramStart"/>
      <w:r w:rsidRPr="002053CC">
        <w:rPr>
          <w:rFonts w:ascii="Arial" w:hAnsi="Arial" w:cs="Arial"/>
        </w:rPr>
        <w:t>budget</w:t>
      </w:r>
      <w:proofErr w:type="gramEnd"/>
      <w:r w:rsidRPr="002053CC">
        <w:rPr>
          <w:rFonts w:ascii="Arial" w:hAnsi="Arial" w:cs="Arial"/>
        </w:rPr>
        <w:t xml:space="preserve"> and this balance has been written down through </w:t>
      </w:r>
      <w:r w:rsidRPr="002F2F50">
        <w:rPr>
          <w:rFonts w:ascii="Arial" w:hAnsi="Arial" w:cs="Arial"/>
        </w:rPr>
        <w:t>the MRP mechanism by £24</w:t>
      </w:r>
      <w:r>
        <w:rPr>
          <w:rFonts w:ascii="Arial" w:hAnsi="Arial" w:cs="Arial"/>
        </w:rPr>
        <w:t>0</w:t>
      </w:r>
      <w:r w:rsidRPr="002F2F50">
        <w:rPr>
          <w:rFonts w:ascii="Arial" w:hAnsi="Arial" w:cs="Arial"/>
        </w:rPr>
        <w:t>k per annum.</w:t>
      </w:r>
    </w:p>
    <w:p w14:paraId="7EF395D8" w14:textId="77777777" w:rsidR="00E3289C" w:rsidRPr="002F2F50" w:rsidRDefault="00E3289C" w:rsidP="00E3289C">
      <w:pPr>
        <w:pStyle w:val="ListParagraph"/>
        <w:rPr>
          <w:rFonts w:ascii="Arial" w:hAnsi="Arial" w:cs="Arial"/>
        </w:rPr>
      </w:pPr>
    </w:p>
    <w:p w14:paraId="61C88DC1" w14:textId="77777777" w:rsidR="00E3289C" w:rsidRPr="00E2320E" w:rsidRDefault="00E3289C" w:rsidP="00D60EFC">
      <w:pPr>
        <w:widowControl w:val="0"/>
        <w:numPr>
          <w:ilvl w:val="1"/>
          <w:numId w:val="20"/>
        </w:numPr>
        <w:ind w:left="709" w:hanging="709"/>
        <w:jc w:val="both"/>
        <w:rPr>
          <w:rFonts w:ascii="Arial" w:hAnsi="Arial" w:cs="Arial"/>
          <w:b/>
        </w:rPr>
      </w:pPr>
      <w:r w:rsidRPr="002F2F50">
        <w:rPr>
          <w:rFonts w:ascii="Arial" w:hAnsi="Arial" w:cs="Arial"/>
          <w:b/>
        </w:rPr>
        <w:t>MRP Adjustment</w:t>
      </w:r>
      <w:r>
        <w:rPr>
          <w:rFonts w:ascii="Arial" w:hAnsi="Arial" w:cs="Arial"/>
          <w:b/>
        </w:rPr>
        <w:t xml:space="preserve"> - </w:t>
      </w:r>
      <w:r w:rsidRPr="00E2320E">
        <w:rPr>
          <w:rFonts w:ascii="Arial" w:hAnsi="Arial" w:cs="Arial"/>
          <w:b/>
        </w:rPr>
        <w:t>Elstree Studios Asbestos Remediation Works</w:t>
      </w:r>
    </w:p>
    <w:p w14:paraId="65F322EA" w14:textId="77777777" w:rsidR="00E3289C" w:rsidRPr="002F2F50" w:rsidRDefault="00E3289C" w:rsidP="00E3289C">
      <w:pPr>
        <w:widowControl w:val="0"/>
        <w:tabs>
          <w:tab w:val="left" w:pos="-142"/>
        </w:tabs>
        <w:jc w:val="both"/>
        <w:rPr>
          <w:rFonts w:ascii="Arial" w:hAnsi="Arial" w:cs="Arial"/>
        </w:rPr>
      </w:pPr>
    </w:p>
    <w:p w14:paraId="3B8F6A3D" w14:textId="77777777" w:rsidR="00E3289C" w:rsidRPr="00F23A42" w:rsidRDefault="00E3289C" w:rsidP="00D60EFC">
      <w:pPr>
        <w:widowControl w:val="0"/>
        <w:numPr>
          <w:ilvl w:val="2"/>
          <w:numId w:val="20"/>
        </w:numPr>
        <w:ind w:left="709" w:hanging="709"/>
        <w:jc w:val="both"/>
        <w:rPr>
          <w:rFonts w:ascii="Arial" w:hAnsi="Arial" w:cs="Arial"/>
        </w:rPr>
      </w:pPr>
      <w:r w:rsidRPr="00F23A42">
        <w:rPr>
          <w:rFonts w:ascii="Arial" w:hAnsi="Arial" w:cs="Arial"/>
        </w:rPr>
        <w:t xml:space="preserve">The 2024/25 CFR included costs relating to the asbestos clean-up and remediation works at the Elstree Studios with costs of £13.159m incurred across prior financial years in 2022/23 and 2023/24. </w:t>
      </w:r>
      <w:r>
        <w:rPr>
          <w:rFonts w:ascii="Arial" w:hAnsi="Arial" w:cs="Arial"/>
        </w:rPr>
        <w:t xml:space="preserve">These works were completed during </w:t>
      </w:r>
      <w:proofErr w:type="gramStart"/>
      <w:r>
        <w:rPr>
          <w:rFonts w:ascii="Arial" w:hAnsi="Arial" w:cs="Arial"/>
        </w:rPr>
        <w:t>2024/25</w:t>
      </w:r>
      <w:proofErr w:type="gramEnd"/>
      <w:r>
        <w:rPr>
          <w:rFonts w:ascii="Arial" w:hAnsi="Arial" w:cs="Arial"/>
        </w:rPr>
        <w:t xml:space="preserve"> and </w:t>
      </w:r>
      <w:r w:rsidRPr="00F23A42">
        <w:rPr>
          <w:rFonts w:ascii="Arial" w:hAnsi="Arial" w:cs="Arial"/>
        </w:rPr>
        <w:t xml:space="preserve">the Council’s share of these costs were </w:t>
      </w:r>
      <w:r>
        <w:rPr>
          <w:rFonts w:ascii="Arial" w:hAnsi="Arial" w:cs="Arial"/>
        </w:rPr>
        <w:t xml:space="preserve">subsequently all </w:t>
      </w:r>
      <w:r w:rsidRPr="00F23A42">
        <w:rPr>
          <w:rFonts w:ascii="Arial" w:hAnsi="Arial" w:cs="Arial"/>
        </w:rPr>
        <w:t>funded from use of earmarked reserves</w:t>
      </w:r>
      <w:r>
        <w:rPr>
          <w:rFonts w:ascii="Arial" w:hAnsi="Arial" w:cs="Arial"/>
        </w:rPr>
        <w:t>, revenue contribution</w:t>
      </w:r>
      <w:r w:rsidRPr="00F23A42">
        <w:rPr>
          <w:rFonts w:ascii="Arial" w:hAnsi="Arial" w:cs="Arial"/>
        </w:rPr>
        <w:t xml:space="preserve"> </w:t>
      </w:r>
      <w:r>
        <w:rPr>
          <w:rFonts w:ascii="Arial" w:hAnsi="Arial" w:cs="Arial"/>
        </w:rPr>
        <w:t xml:space="preserve">and capital receipts </w:t>
      </w:r>
      <w:r w:rsidRPr="00F23A42">
        <w:rPr>
          <w:rFonts w:ascii="Arial" w:hAnsi="Arial" w:cs="Arial"/>
        </w:rPr>
        <w:t xml:space="preserve">and this </w:t>
      </w:r>
      <w:r>
        <w:rPr>
          <w:rFonts w:ascii="Arial" w:hAnsi="Arial" w:cs="Arial"/>
        </w:rPr>
        <w:t xml:space="preserve">is </w:t>
      </w:r>
      <w:r w:rsidRPr="00F23A42">
        <w:rPr>
          <w:rFonts w:ascii="Arial" w:hAnsi="Arial" w:cs="Arial"/>
        </w:rPr>
        <w:t>reflected in 2024/25 thereby significantly reducing the CFR. The use of reserves to fund these works rather than borrowing mitigate the need for an annual MRP contribution of between £400-500k which would be a direct cost to the Revenue budget from 2024/25 over 40 years in line with the Councils MRP policy.</w:t>
      </w:r>
    </w:p>
    <w:p w14:paraId="07EB69F9" w14:textId="77777777" w:rsidR="00E3289C" w:rsidRPr="001D73A6" w:rsidRDefault="00E3289C" w:rsidP="00E3289C">
      <w:pPr>
        <w:widowControl w:val="0"/>
        <w:ind w:left="709"/>
        <w:jc w:val="both"/>
        <w:rPr>
          <w:rFonts w:ascii="Arial" w:hAnsi="Arial" w:cs="Arial"/>
          <w:highlight w:val="yellow"/>
        </w:rPr>
      </w:pPr>
    </w:p>
    <w:p w14:paraId="6D4D37B1" w14:textId="513E4A2D" w:rsidR="00E3289C" w:rsidRDefault="005D1B45" w:rsidP="00D60EFC">
      <w:pPr>
        <w:widowControl w:val="0"/>
        <w:numPr>
          <w:ilvl w:val="1"/>
          <w:numId w:val="20"/>
        </w:numPr>
        <w:ind w:left="709" w:hanging="709"/>
        <w:rPr>
          <w:rFonts w:ascii="Arial" w:hAnsi="Arial" w:cs="Arial"/>
          <w:b/>
        </w:rPr>
      </w:pPr>
      <w:r>
        <w:rPr>
          <w:rFonts w:ascii="Arial" w:hAnsi="Arial" w:cs="Arial"/>
          <w:b/>
        </w:rPr>
        <w:t xml:space="preserve">Capital </w:t>
      </w:r>
      <w:r w:rsidR="00E3289C" w:rsidRPr="002F2F50">
        <w:rPr>
          <w:rFonts w:ascii="Arial" w:hAnsi="Arial" w:cs="Arial"/>
          <w:b/>
        </w:rPr>
        <w:t>Loans to Subsidiary Companies and Related Parties</w:t>
      </w:r>
    </w:p>
    <w:p w14:paraId="77BEA356" w14:textId="77777777" w:rsidR="0030458A" w:rsidRPr="002F2F50" w:rsidRDefault="0030458A" w:rsidP="0030458A">
      <w:pPr>
        <w:widowControl w:val="0"/>
        <w:ind w:left="709"/>
        <w:rPr>
          <w:rFonts w:ascii="Arial" w:hAnsi="Arial" w:cs="Arial"/>
          <w:b/>
        </w:rPr>
      </w:pPr>
    </w:p>
    <w:p w14:paraId="3022A010" w14:textId="2B98903D" w:rsidR="00E3289C" w:rsidRDefault="00E3289C" w:rsidP="0030458A">
      <w:pPr>
        <w:widowControl w:val="0"/>
        <w:numPr>
          <w:ilvl w:val="2"/>
          <w:numId w:val="20"/>
        </w:numPr>
        <w:ind w:left="709" w:hanging="709"/>
        <w:jc w:val="both"/>
        <w:rPr>
          <w:rFonts w:ascii="Arial" w:hAnsi="Arial" w:cs="Arial"/>
        </w:rPr>
      </w:pPr>
      <w:proofErr w:type="spellStart"/>
      <w:r w:rsidRPr="0030458A">
        <w:rPr>
          <w:rFonts w:ascii="Arial" w:hAnsi="Arial" w:cs="Arial"/>
        </w:rPr>
        <w:t>InspireAll</w:t>
      </w:r>
      <w:proofErr w:type="spellEnd"/>
      <w:r w:rsidRPr="0030458A">
        <w:rPr>
          <w:rFonts w:ascii="Arial" w:hAnsi="Arial" w:cs="Arial"/>
        </w:rPr>
        <w:t xml:space="preserve"> – The CFR includes the loan to </w:t>
      </w:r>
      <w:proofErr w:type="spellStart"/>
      <w:r w:rsidRPr="0030458A">
        <w:rPr>
          <w:rFonts w:ascii="Arial" w:hAnsi="Arial" w:cs="Arial"/>
        </w:rPr>
        <w:t>InspireAll</w:t>
      </w:r>
      <w:proofErr w:type="spellEnd"/>
      <w:r w:rsidRPr="0030458A">
        <w:rPr>
          <w:rFonts w:ascii="Arial" w:hAnsi="Arial" w:cs="Arial"/>
        </w:rPr>
        <w:t xml:space="preserve"> which was provided for capital investment in the Council’s leisure facilities. As </w:t>
      </w:r>
      <w:proofErr w:type="gramStart"/>
      <w:r w:rsidRPr="0030458A">
        <w:rPr>
          <w:rFonts w:ascii="Arial" w:hAnsi="Arial" w:cs="Arial"/>
        </w:rPr>
        <w:t>at</w:t>
      </w:r>
      <w:proofErr w:type="gramEnd"/>
      <w:r w:rsidRPr="0030458A">
        <w:rPr>
          <w:rFonts w:ascii="Arial" w:hAnsi="Arial" w:cs="Arial"/>
        </w:rPr>
        <w:t xml:space="preserve"> 31 March 2025 this loan had an outstanding balance of £3.15m and is being repaid on an annuity basis with principal and interest being repaid monthly.</w:t>
      </w:r>
    </w:p>
    <w:p w14:paraId="16E24576" w14:textId="77777777" w:rsidR="0030458A" w:rsidRPr="0030458A" w:rsidRDefault="0030458A" w:rsidP="0030458A">
      <w:pPr>
        <w:widowControl w:val="0"/>
        <w:ind w:left="709"/>
        <w:jc w:val="both"/>
        <w:rPr>
          <w:rFonts w:ascii="Arial" w:hAnsi="Arial" w:cs="Arial"/>
        </w:rPr>
      </w:pPr>
    </w:p>
    <w:p w14:paraId="6D370866" w14:textId="23FFE8F4" w:rsidR="00E3289C" w:rsidRPr="0030458A" w:rsidRDefault="00E3289C" w:rsidP="0030458A">
      <w:pPr>
        <w:widowControl w:val="0"/>
        <w:numPr>
          <w:ilvl w:val="2"/>
          <w:numId w:val="20"/>
        </w:numPr>
        <w:ind w:left="709" w:hanging="709"/>
        <w:jc w:val="both"/>
        <w:rPr>
          <w:rFonts w:ascii="Arial" w:hAnsi="Arial" w:cs="Arial"/>
        </w:rPr>
      </w:pPr>
      <w:r w:rsidRPr="0030458A">
        <w:rPr>
          <w:rFonts w:ascii="Arial" w:hAnsi="Arial" w:cs="Arial"/>
        </w:rPr>
        <w:t xml:space="preserve">Hertsmere Living Limited (HLL) – HLL is a joint venture housing stock holding company owned on a 50:50 basis by Hertsmere BC and Clarendon Living Limited (a subsidiary of Watford Community Housing Trust). During 2024/25 the Council has agreed two loans of £2.0m and £0.8m to HLL for the purchase of new affordable housing from HDL (Clarendon Gardens) and from the Council (St Johns) respectively. These loans have a fixed and floating charge over all of HLL’s assets and are to be repaid over a </w:t>
      </w:r>
      <w:proofErr w:type="gramStart"/>
      <w:r w:rsidRPr="0030458A">
        <w:rPr>
          <w:rFonts w:ascii="Arial" w:hAnsi="Arial" w:cs="Arial"/>
        </w:rPr>
        <w:t>40 year</w:t>
      </w:r>
      <w:proofErr w:type="gramEnd"/>
      <w:r w:rsidRPr="0030458A">
        <w:rPr>
          <w:rFonts w:ascii="Arial" w:hAnsi="Arial" w:cs="Arial"/>
        </w:rPr>
        <w:t xml:space="preserve"> period on an annuity basis. These loans will be interest only in years 1-5 with principal and interest repayments commencing from year six and the full balance being repaid by </w:t>
      </w:r>
      <w:r w:rsidRPr="0030458A">
        <w:rPr>
          <w:rFonts w:ascii="Arial" w:hAnsi="Arial" w:cs="Arial"/>
        </w:rPr>
        <w:lastRenderedPageBreak/>
        <w:t xml:space="preserve">year 40. </w:t>
      </w:r>
    </w:p>
    <w:p w14:paraId="734A2B09" w14:textId="77777777" w:rsidR="00E3289C" w:rsidRDefault="00E3289C" w:rsidP="00E3289C">
      <w:pPr>
        <w:pStyle w:val="ListParagraph"/>
        <w:rPr>
          <w:rFonts w:ascii="Arial" w:hAnsi="Arial" w:cs="Arial"/>
        </w:rPr>
      </w:pPr>
    </w:p>
    <w:p w14:paraId="6641EE93" w14:textId="77777777" w:rsidR="0056546A" w:rsidRDefault="00E3289C" w:rsidP="005D1B45">
      <w:pPr>
        <w:widowControl w:val="0"/>
        <w:numPr>
          <w:ilvl w:val="1"/>
          <w:numId w:val="20"/>
        </w:numPr>
        <w:rPr>
          <w:rFonts w:ascii="Arial" w:hAnsi="Arial" w:cs="Arial"/>
          <w:b/>
        </w:rPr>
      </w:pPr>
      <w:r w:rsidRPr="0056546A">
        <w:rPr>
          <w:rFonts w:ascii="Arial" w:hAnsi="Arial" w:cs="Arial"/>
          <w:b/>
        </w:rPr>
        <w:t>Core funds and expected investment balances</w:t>
      </w:r>
    </w:p>
    <w:p w14:paraId="2FF490EB" w14:textId="77777777" w:rsidR="0056546A" w:rsidRPr="0056546A" w:rsidRDefault="0056546A" w:rsidP="0056546A">
      <w:pPr>
        <w:widowControl w:val="0"/>
        <w:tabs>
          <w:tab w:val="left" w:pos="-142"/>
        </w:tabs>
        <w:jc w:val="both"/>
        <w:rPr>
          <w:rFonts w:ascii="Arial" w:hAnsi="Arial" w:cs="Arial"/>
        </w:rPr>
      </w:pPr>
    </w:p>
    <w:p w14:paraId="5B1B89CA" w14:textId="72411E5F" w:rsidR="00E3289C" w:rsidRDefault="00E3289C" w:rsidP="0056546A">
      <w:pPr>
        <w:widowControl w:val="0"/>
        <w:numPr>
          <w:ilvl w:val="2"/>
          <w:numId w:val="20"/>
        </w:numPr>
        <w:ind w:left="709" w:hanging="709"/>
        <w:jc w:val="both"/>
        <w:rPr>
          <w:rFonts w:ascii="Arial" w:hAnsi="Arial" w:cs="Arial"/>
        </w:rPr>
      </w:pPr>
      <w:r w:rsidRPr="0056546A">
        <w:rPr>
          <w:rFonts w:ascii="Arial" w:hAnsi="Arial" w:cs="Arial"/>
        </w:rPr>
        <w:t>The application of resources (capital receipts, reserves etc.) to either finance capital expenditure or other budget decisions to support the revenue budget will have an on-going impact on investments unless resources are supplemented each year from new sources (asset sales etc.). Detailed below are estimates of the year-end balances for each resource and anticipated day to day cash flow balances.</w:t>
      </w:r>
    </w:p>
    <w:p w14:paraId="63614B36" w14:textId="77777777" w:rsidR="0056546A" w:rsidRPr="0056546A" w:rsidRDefault="0056546A" w:rsidP="0056546A">
      <w:pPr>
        <w:widowControl w:val="0"/>
        <w:tabs>
          <w:tab w:val="left" w:pos="-142"/>
        </w:tabs>
        <w:jc w:val="both"/>
        <w:rPr>
          <w:rFonts w:ascii="Arial" w:hAnsi="Arial" w:cs="Arial"/>
        </w:rPr>
      </w:pPr>
    </w:p>
    <w:p w14:paraId="493678C5" w14:textId="77777777" w:rsidR="005D1B45" w:rsidRDefault="00E3289C" w:rsidP="005D1B45">
      <w:pPr>
        <w:pStyle w:val="ListParagraph"/>
        <w:widowControl w:val="0"/>
        <w:numPr>
          <w:ilvl w:val="2"/>
          <w:numId w:val="32"/>
        </w:numPr>
        <w:jc w:val="both"/>
        <w:rPr>
          <w:rFonts w:ascii="Arial" w:hAnsi="Arial" w:cs="Arial"/>
        </w:rPr>
      </w:pPr>
      <w:r w:rsidRPr="0056546A">
        <w:rPr>
          <w:rFonts w:ascii="Arial" w:hAnsi="Arial" w:cs="Arial"/>
        </w:rPr>
        <w:t>The expected level of investment balances beyond the forthcoming year can be difficult to forecast as they are affected by fluctuations in working capital balance, which are only available on a temporary basis. Should the Council decide not to borrow and instead utilise internal reserves and cash balances to finance part or all of capital the level of core funds will be reduced accordingly.</w:t>
      </w:r>
    </w:p>
    <w:p w14:paraId="33571B15" w14:textId="3CE57140" w:rsidR="0056546A" w:rsidRDefault="00E3289C" w:rsidP="005D1B45">
      <w:pPr>
        <w:pStyle w:val="ListParagraph"/>
        <w:widowControl w:val="0"/>
        <w:rPr>
          <w:rFonts w:ascii="Arial" w:hAnsi="Arial" w:cs="Arial"/>
        </w:rPr>
      </w:pPr>
      <w:r w:rsidRPr="0056546A">
        <w:rPr>
          <w:rFonts w:ascii="Arial" w:hAnsi="Arial" w:cs="Arial"/>
        </w:rPr>
        <w:t xml:space="preserve"> </w:t>
      </w:r>
    </w:p>
    <w:p w14:paraId="6377EFAE" w14:textId="6FABF807" w:rsidR="00E3289C" w:rsidRPr="0056546A" w:rsidRDefault="00E3289C" w:rsidP="0056546A">
      <w:pPr>
        <w:pStyle w:val="ListParagraph"/>
        <w:widowControl w:val="0"/>
        <w:numPr>
          <w:ilvl w:val="2"/>
          <w:numId w:val="32"/>
        </w:numPr>
        <w:rPr>
          <w:rFonts w:ascii="Arial" w:hAnsi="Arial" w:cs="Arial"/>
        </w:rPr>
      </w:pPr>
      <w:r w:rsidRPr="0056546A">
        <w:rPr>
          <w:rFonts w:ascii="Arial" w:hAnsi="Arial" w:cs="Arial"/>
        </w:rPr>
        <w:t>The council’s revenue reserve and capital reserve forecast has been provided below at table 4 to show the potential headroom the council will have to invest in core funds and expected investments.</w:t>
      </w:r>
    </w:p>
    <w:p w14:paraId="0B32C825" w14:textId="77777777" w:rsidR="00E3289C" w:rsidRPr="004537B0" w:rsidRDefault="00E3289C" w:rsidP="00E3289C">
      <w:pPr>
        <w:widowControl w:val="0"/>
        <w:ind w:left="709"/>
        <w:jc w:val="both"/>
        <w:rPr>
          <w:rFonts w:ascii="Arial" w:hAnsi="Arial" w:cs="Arial"/>
        </w:rPr>
      </w:pPr>
    </w:p>
    <w:p w14:paraId="3634F66E" w14:textId="77777777" w:rsidR="00E3289C" w:rsidRPr="00F23A42" w:rsidRDefault="00E3289C" w:rsidP="005D1B45">
      <w:pPr>
        <w:keepNext/>
        <w:widowControl w:val="0"/>
        <w:ind w:left="709"/>
        <w:jc w:val="both"/>
        <w:rPr>
          <w:rFonts w:ascii="Arial" w:hAnsi="Arial" w:cs="Arial"/>
          <w:b/>
        </w:rPr>
      </w:pPr>
      <w:r>
        <w:rPr>
          <w:rFonts w:ascii="Arial" w:hAnsi="Arial" w:cs="Arial"/>
          <w:b/>
        </w:rPr>
        <w:t>Table 4</w:t>
      </w:r>
      <w:r w:rsidRPr="00F331C6">
        <w:rPr>
          <w:rFonts w:ascii="Arial" w:hAnsi="Arial" w:cs="Arial"/>
          <w:b/>
        </w:rPr>
        <w:t xml:space="preserve"> – </w:t>
      </w:r>
      <w:r>
        <w:rPr>
          <w:rFonts w:ascii="Arial" w:hAnsi="Arial" w:cs="Arial"/>
          <w:b/>
        </w:rPr>
        <w:t>Revenue and Capital Reserve Forecast</w:t>
      </w:r>
      <w:r w:rsidRPr="00F331C6">
        <w:rPr>
          <w:rFonts w:ascii="Arial" w:hAnsi="Arial" w:cs="Arial"/>
          <w:b/>
        </w:rPr>
        <w:t>:</w:t>
      </w:r>
    </w:p>
    <w:bookmarkEnd w:id="3"/>
    <w:p w14:paraId="28DE9C46" w14:textId="77777777" w:rsidR="00E3289C" w:rsidRDefault="00E3289C" w:rsidP="005D1B45">
      <w:pPr>
        <w:keepNext/>
        <w:widowControl w:val="0"/>
      </w:pPr>
    </w:p>
    <w:p w14:paraId="7F1DF9C0" w14:textId="77777777" w:rsidR="00E3289C" w:rsidRPr="00226735" w:rsidRDefault="00E3289C" w:rsidP="00226735">
      <w:pPr>
        <w:pStyle w:val="ListParagraph"/>
        <w:widowControl w:val="0"/>
        <w:ind w:left="709"/>
        <w:rPr>
          <w:rFonts w:ascii="Arial" w:hAnsi="Arial" w:cs="Arial"/>
          <w:b/>
          <w:sz w:val="28"/>
          <w:szCs w:val="28"/>
          <w:u w:val="single"/>
        </w:rPr>
      </w:pPr>
      <w:r w:rsidRPr="00547CCA">
        <w:rPr>
          <w:noProof/>
          <w:lang w:eastAsia="en-GB"/>
        </w:rPr>
        <w:drawing>
          <wp:inline distT="0" distB="0" distL="0" distR="0" wp14:anchorId="595A55BC" wp14:editId="41A11094">
            <wp:extent cx="5270739" cy="3246513"/>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61272" cy="3302277"/>
                    </a:xfrm>
                    <a:prstGeom prst="rect">
                      <a:avLst/>
                    </a:prstGeom>
                  </pic:spPr>
                </pic:pic>
              </a:graphicData>
            </a:graphic>
          </wp:inline>
        </w:drawing>
      </w:r>
    </w:p>
    <w:p w14:paraId="3C03302A" w14:textId="77777777" w:rsidR="00E3289C" w:rsidRDefault="00E3289C" w:rsidP="00E3289C">
      <w:pPr>
        <w:widowControl w:val="0"/>
      </w:pPr>
    </w:p>
    <w:p w14:paraId="615B8702" w14:textId="77777777" w:rsidR="00E3289C" w:rsidRDefault="00E3289C" w:rsidP="00226735">
      <w:pPr>
        <w:widowControl w:val="0"/>
        <w:ind w:left="709"/>
      </w:pPr>
      <w:r w:rsidRPr="00177238">
        <w:rPr>
          <w:noProof/>
          <w:lang w:eastAsia="en-GB"/>
        </w:rPr>
        <w:drawing>
          <wp:inline distT="0" distB="0" distL="0" distR="0" wp14:anchorId="529C661F" wp14:editId="62C457F6">
            <wp:extent cx="5287992" cy="1142536"/>
            <wp:effectExtent l="0" t="0" r="825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48618" cy="1198847"/>
                    </a:xfrm>
                    <a:prstGeom prst="rect">
                      <a:avLst/>
                    </a:prstGeom>
                  </pic:spPr>
                </pic:pic>
              </a:graphicData>
            </a:graphic>
          </wp:inline>
        </w:drawing>
      </w:r>
    </w:p>
    <w:p w14:paraId="22C14F0F" w14:textId="77777777" w:rsidR="00E3289C" w:rsidRPr="002F2F50" w:rsidRDefault="00E3289C" w:rsidP="005D1B45">
      <w:pPr>
        <w:widowControl w:val="0"/>
        <w:ind w:left="709"/>
        <w:jc w:val="both"/>
        <w:rPr>
          <w:rFonts w:ascii="Arial" w:hAnsi="Arial" w:cs="Arial"/>
        </w:rPr>
      </w:pPr>
      <w:r w:rsidRPr="0027487D">
        <w:rPr>
          <w:rFonts w:ascii="Arial" w:hAnsi="Arial" w:cs="Arial"/>
          <w:b/>
          <w:sz w:val="20"/>
          <w:szCs w:val="20"/>
        </w:rPr>
        <w:t>N.B.</w:t>
      </w:r>
      <w:r>
        <w:rPr>
          <w:rFonts w:ascii="Arial" w:hAnsi="Arial" w:cs="Arial"/>
        </w:rPr>
        <w:t xml:space="preserve"> </w:t>
      </w:r>
      <w:r>
        <w:rPr>
          <w:rFonts w:ascii="Arial" w:hAnsi="Arial" w:cs="Arial"/>
          <w:sz w:val="20"/>
          <w:szCs w:val="20"/>
        </w:rPr>
        <w:t>The 2024/25 values are subject to external audit.</w:t>
      </w:r>
    </w:p>
    <w:p w14:paraId="6D02C6F7" w14:textId="77777777" w:rsidR="00E3289C" w:rsidRPr="00034D24" w:rsidRDefault="00E3289C" w:rsidP="00E3289C">
      <w:pPr>
        <w:widowControl w:val="0"/>
        <w:jc w:val="both"/>
      </w:pPr>
    </w:p>
    <w:p w14:paraId="458836D0" w14:textId="0E307F75" w:rsidR="00E3289C" w:rsidRPr="0056546A" w:rsidRDefault="00E3289C" w:rsidP="005D1B45">
      <w:pPr>
        <w:pStyle w:val="ListParagraph"/>
        <w:widowControl w:val="0"/>
        <w:numPr>
          <w:ilvl w:val="1"/>
          <w:numId w:val="32"/>
        </w:numPr>
        <w:ind w:left="709" w:hanging="709"/>
        <w:jc w:val="both"/>
        <w:rPr>
          <w:rFonts w:ascii="Arial" w:hAnsi="Arial" w:cs="Arial"/>
        </w:rPr>
      </w:pPr>
      <w:r w:rsidRPr="0056546A">
        <w:rPr>
          <w:rFonts w:ascii="Arial" w:hAnsi="Arial" w:cs="Arial"/>
          <w:b/>
        </w:rPr>
        <w:t>Minimum Revenue Provision (MRP) policy statement</w:t>
      </w:r>
      <w:r w:rsidRPr="0056546A">
        <w:rPr>
          <w:rFonts w:ascii="Arial" w:hAnsi="Arial" w:cs="Arial"/>
        </w:rPr>
        <w:t xml:space="preserve"> </w:t>
      </w:r>
    </w:p>
    <w:p w14:paraId="15ABAA86" w14:textId="77777777" w:rsidR="00E3289C" w:rsidRDefault="00E3289C" w:rsidP="00E3289C">
      <w:pPr>
        <w:widowControl w:val="0"/>
        <w:ind w:left="709"/>
        <w:jc w:val="both"/>
        <w:rPr>
          <w:rFonts w:ascii="Arial" w:hAnsi="Arial" w:cs="Arial"/>
        </w:rPr>
      </w:pPr>
    </w:p>
    <w:p w14:paraId="75B98BCD" w14:textId="6A569AF7" w:rsidR="00E3289C" w:rsidRPr="0056546A" w:rsidRDefault="00E3289C" w:rsidP="0056546A">
      <w:pPr>
        <w:pStyle w:val="ListParagraph"/>
        <w:widowControl w:val="0"/>
        <w:numPr>
          <w:ilvl w:val="2"/>
          <w:numId w:val="32"/>
        </w:numPr>
        <w:jc w:val="both"/>
        <w:rPr>
          <w:rFonts w:ascii="Arial" w:hAnsi="Arial" w:cs="Arial"/>
        </w:rPr>
      </w:pPr>
      <w:r w:rsidRPr="0056546A">
        <w:rPr>
          <w:rFonts w:ascii="Arial" w:hAnsi="Arial" w:cs="Arial"/>
        </w:rPr>
        <w:t>Under Regulation 27 of the Local Authorities (Capital Finance and Accounting) (England) Regulations 2003, where the Authority has financed capital expenditure by borrowing</w:t>
      </w:r>
      <w:r w:rsidR="005D1B45">
        <w:rPr>
          <w:rFonts w:ascii="Arial" w:hAnsi="Arial" w:cs="Arial"/>
        </w:rPr>
        <w:t xml:space="preserve"> (which includes internal borrowing)</w:t>
      </w:r>
      <w:r w:rsidRPr="0056546A">
        <w:rPr>
          <w:rFonts w:ascii="Arial" w:hAnsi="Arial" w:cs="Arial"/>
        </w:rPr>
        <w:t xml:space="preserve"> it is required to make a provision each year through a revenue charge (MRP). The 2003 Regulations have been further amended with full effect from April 2025 to expressly provide that in determining a prudent provision local authorities cannot exclude any amount of CFR from its calculation, unless by an exception set out in statute.</w:t>
      </w:r>
    </w:p>
    <w:p w14:paraId="6A352F5B" w14:textId="77777777" w:rsidR="00E3289C" w:rsidRPr="00034D24" w:rsidRDefault="00E3289C" w:rsidP="00E3289C">
      <w:pPr>
        <w:widowControl w:val="0"/>
        <w:ind w:left="709"/>
        <w:jc w:val="both"/>
        <w:rPr>
          <w:rFonts w:ascii="Arial" w:hAnsi="Arial" w:cs="Arial"/>
        </w:rPr>
      </w:pPr>
    </w:p>
    <w:p w14:paraId="1566A7E1" w14:textId="1783F4A9" w:rsidR="00E3289C" w:rsidRDefault="00E3289C" w:rsidP="0056546A">
      <w:pPr>
        <w:widowControl w:val="0"/>
        <w:numPr>
          <w:ilvl w:val="2"/>
          <w:numId w:val="32"/>
        </w:numPr>
        <w:ind w:left="709" w:hanging="709"/>
        <w:jc w:val="both"/>
        <w:rPr>
          <w:rFonts w:ascii="Arial" w:hAnsi="Arial" w:cs="Arial"/>
        </w:rPr>
      </w:pPr>
      <w:r w:rsidRPr="00034D24">
        <w:rPr>
          <w:rFonts w:ascii="Arial" w:hAnsi="Arial" w:cs="Arial"/>
        </w:rPr>
        <w:t>The Authority is required to calculate a prudent provision of MRP which ensures that the outstanding debt liability is repaid over a period that is reasonably commensurate with that over which the capital expenditure provides benefits. The MRP Guidance (2024) provides four ready-made options for calculating MRP.  An authority can use a mix of these options if it considers it appropriate to do so</w:t>
      </w:r>
      <w:r w:rsidR="005D1B45">
        <w:rPr>
          <w:rFonts w:ascii="Arial" w:hAnsi="Arial" w:cs="Arial"/>
        </w:rPr>
        <w:t>.</w:t>
      </w:r>
    </w:p>
    <w:p w14:paraId="1E4312D8" w14:textId="77777777" w:rsidR="00E3289C" w:rsidRDefault="00E3289C" w:rsidP="00E3289C">
      <w:pPr>
        <w:widowControl w:val="0"/>
        <w:ind w:left="709"/>
        <w:jc w:val="both"/>
        <w:rPr>
          <w:rFonts w:ascii="Arial" w:hAnsi="Arial" w:cs="Arial"/>
        </w:rPr>
      </w:pPr>
    </w:p>
    <w:p w14:paraId="0E36B37A" w14:textId="77777777" w:rsidR="00E3289C" w:rsidRPr="00034D24" w:rsidRDefault="00E3289C" w:rsidP="0056546A">
      <w:pPr>
        <w:widowControl w:val="0"/>
        <w:numPr>
          <w:ilvl w:val="2"/>
          <w:numId w:val="32"/>
        </w:numPr>
        <w:ind w:left="709" w:hanging="709"/>
        <w:jc w:val="both"/>
        <w:rPr>
          <w:rFonts w:ascii="Arial" w:hAnsi="Arial" w:cs="Arial"/>
        </w:rPr>
      </w:pPr>
      <w:r w:rsidRPr="00034D24">
        <w:rPr>
          <w:rFonts w:ascii="Arial" w:hAnsi="Arial" w:cs="Arial"/>
        </w:rPr>
        <w:t xml:space="preserve">As referred to already, the Council is required to set aside an element of the accumulated unfunded capital spend each year (the CFR) through a revenue charge (the minimum revenue provision - MRP), although it is also allowed to undertake additional voluntary payments if required (voluntary revenue provision - VRP).  </w:t>
      </w:r>
    </w:p>
    <w:p w14:paraId="638FFBFA" w14:textId="77777777" w:rsidR="00E3289C" w:rsidRPr="002F2F50" w:rsidRDefault="00E3289C" w:rsidP="00E3289C">
      <w:pPr>
        <w:widowControl w:val="0"/>
        <w:tabs>
          <w:tab w:val="left" w:pos="-142"/>
        </w:tabs>
        <w:rPr>
          <w:rFonts w:ascii="Arial" w:hAnsi="Arial" w:cs="Arial"/>
        </w:rPr>
      </w:pPr>
    </w:p>
    <w:p w14:paraId="25C2898D" w14:textId="77777777" w:rsidR="00E3289C" w:rsidRPr="002F2F50" w:rsidRDefault="00E3289C" w:rsidP="0056546A">
      <w:pPr>
        <w:widowControl w:val="0"/>
        <w:numPr>
          <w:ilvl w:val="2"/>
          <w:numId w:val="32"/>
        </w:numPr>
        <w:ind w:left="709" w:hanging="709"/>
        <w:jc w:val="both"/>
        <w:rPr>
          <w:rFonts w:ascii="Arial" w:hAnsi="Arial" w:cs="Arial"/>
        </w:rPr>
      </w:pPr>
      <w:r>
        <w:rPr>
          <w:rFonts w:ascii="Arial" w:hAnsi="Arial" w:cs="Arial"/>
        </w:rPr>
        <w:t>Ministry of Housing, Communities &amp; Local Government regulations</w:t>
      </w:r>
      <w:r w:rsidRPr="002F2F50">
        <w:rPr>
          <w:rFonts w:ascii="Arial" w:hAnsi="Arial" w:cs="Arial"/>
        </w:rPr>
        <w:t xml:space="preserve"> require the full Council to approve an MRP Statement in advance of each year.  Councils are required to determine each year an amount of MRP, which they consider to be prudent. </w:t>
      </w:r>
      <w:r>
        <w:rPr>
          <w:rFonts w:ascii="Arial" w:hAnsi="Arial" w:cs="Arial"/>
        </w:rPr>
        <w:t xml:space="preserve"> MHCLG</w:t>
      </w:r>
      <w:r w:rsidRPr="002F2F50">
        <w:rPr>
          <w:rFonts w:ascii="Arial" w:hAnsi="Arial" w:cs="Arial"/>
        </w:rPr>
        <w:t xml:space="preserve"> provides</w:t>
      </w:r>
      <w:r>
        <w:rPr>
          <w:rFonts w:ascii="Arial" w:hAnsi="Arial" w:cs="Arial"/>
        </w:rPr>
        <w:t xml:space="preserve"> </w:t>
      </w:r>
      <w:r w:rsidRPr="002F2F50">
        <w:rPr>
          <w:rFonts w:ascii="Arial" w:hAnsi="Arial" w:cs="Arial"/>
        </w:rPr>
        <w:t xml:space="preserve">statutory guidance as to how it considers this duty can be met, but the guidance is not binding if alternative arrangements result in a prudent outcome. The Council is recommended to approve the following MRP Statement. </w:t>
      </w:r>
    </w:p>
    <w:p w14:paraId="3323B6FF" w14:textId="77777777" w:rsidR="00E3289C" w:rsidRPr="002F2F50" w:rsidRDefault="00E3289C" w:rsidP="00E3289C">
      <w:pPr>
        <w:pStyle w:val="ListParagraph"/>
        <w:widowControl w:val="0"/>
        <w:rPr>
          <w:rFonts w:ascii="Arial" w:hAnsi="Arial" w:cs="Arial"/>
        </w:rPr>
      </w:pPr>
    </w:p>
    <w:p w14:paraId="7C302721" w14:textId="77777777" w:rsidR="00E3289C" w:rsidRPr="002F2F50" w:rsidRDefault="00E3289C" w:rsidP="0056546A">
      <w:pPr>
        <w:widowControl w:val="0"/>
        <w:numPr>
          <w:ilvl w:val="2"/>
          <w:numId w:val="32"/>
        </w:numPr>
        <w:ind w:left="709" w:hanging="709"/>
        <w:jc w:val="both"/>
        <w:rPr>
          <w:rFonts w:ascii="Arial" w:hAnsi="Arial" w:cs="Arial"/>
        </w:rPr>
      </w:pPr>
      <w:r w:rsidRPr="002F2F50">
        <w:rPr>
          <w:rFonts w:ascii="Arial" w:hAnsi="Arial" w:cs="Arial"/>
        </w:rPr>
        <w:t>For capital expenditure incurred before 1 April 2008 or which in the future will be Supported Capital Expenditure, the MRP policy will be:</w:t>
      </w:r>
    </w:p>
    <w:p w14:paraId="5E5A1CAA" w14:textId="77777777" w:rsidR="00E3289C" w:rsidRPr="002F2F50" w:rsidRDefault="00E3289C" w:rsidP="00E3289C">
      <w:pPr>
        <w:pStyle w:val="BodyText"/>
        <w:widowControl w:val="0"/>
        <w:rPr>
          <w:b/>
          <w:szCs w:val="24"/>
          <w:lang w:val="en-GB"/>
        </w:rPr>
      </w:pPr>
    </w:p>
    <w:p w14:paraId="420A9361" w14:textId="77777777" w:rsidR="00E3289C" w:rsidRPr="002F2F50" w:rsidRDefault="00E3289C" w:rsidP="00D60EFC">
      <w:pPr>
        <w:pStyle w:val="BodyText"/>
        <w:widowControl w:val="0"/>
        <w:numPr>
          <w:ilvl w:val="0"/>
          <w:numId w:val="9"/>
        </w:numPr>
        <w:ind w:left="1134" w:hanging="283"/>
        <w:rPr>
          <w:szCs w:val="24"/>
          <w:lang w:val="en-GB"/>
        </w:rPr>
      </w:pPr>
      <w:r w:rsidRPr="002F2F50">
        <w:rPr>
          <w:b/>
          <w:szCs w:val="24"/>
          <w:lang w:val="en-GB"/>
        </w:rPr>
        <w:t>Option 1 – Regulatory Method</w:t>
      </w:r>
      <w:r w:rsidRPr="002F2F50">
        <w:rPr>
          <w:szCs w:val="24"/>
          <w:lang w:val="en-GB"/>
        </w:rPr>
        <w:t xml:space="preserve"> - MRP will follow the existing practice outlined in former DLUHC regulations (i.e. CFR is calculated after Adjustment A). However as detailed in paragraph </w:t>
      </w:r>
      <w:r>
        <w:rPr>
          <w:szCs w:val="24"/>
          <w:lang w:val="en-GB"/>
        </w:rPr>
        <w:t>6.4.2</w:t>
      </w:r>
      <w:r w:rsidRPr="002F2F50">
        <w:rPr>
          <w:szCs w:val="24"/>
          <w:lang w:val="en-GB"/>
        </w:rPr>
        <w:t xml:space="preserve"> the council set aside a voluntary MRP adjustment of £4.0m for 2015/16. The remaining CFR balance, then £5.9m, is being</w:t>
      </w:r>
      <w:r w:rsidRPr="002F2F50">
        <w:t xml:space="preserve"> written down through an annual MRP from 2016/17 onwards.</w:t>
      </w:r>
    </w:p>
    <w:p w14:paraId="2AC4C01D" w14:textId="77777777" w:rsidR="00E3289C" w:rsidRPr="002F2F50" w:rsidRDefault="00E3289C" w:rsidP="00E3289C">
      <w:pPr>
        <w:pStyle w:val="BodyText"/>
        <w:widowControl w:val="0"/>
        <w:rPr>
          <w:szCs w:val="24"/>
          <w:lang w:val="en-GB"/>
        </w:rPr>
      </w:pPr>
    </w:p>
    <w:p w14:paraId="590AE423" w14:textId="0BC89201" w:rsidR="00E3289C" w:rsidRPr="002F2F50" w:rsidRDefault="00E3289C" w:rsidP="0056546A">
      <w:pPr>
        <w:widowControl w:val="0"/>
        <w:numPr>
          <w:ilvl w:val="2"/>
          <w:numId w:val="32"/>
        </w:numPr>
        <w:ind w:left="709" w:hanging="709"/>
        <w:jc w:val="both"/>
        <w:rPr>
          <w:rFonts w:ascii="Arial" w:hAnsi="Arial" w:cs="Arial"/>
        </w:rPr>
      </w:pPr>
      <w:r w:rsidRPr="002F2F50">
        <w:rPr>
          <w:rFonts w:ascii="Arial" w:hAnsi="Arial" w:cs="Arial"/>
        </w:rPr>
        <w:t xml:space="preserve">From 1 April 2008 for all unsupported borrowing (save for </w:t>
      </w:r>
      <w:r w:rsidR="00CF17B4">
        <w:rPr>
          <w:rFonts w:ascii="Arial" w:hAnsi="Arial" w:cs="Arial"/>
        </w:rPr>
        <w:t xml:space="preserve">capital </w:t>
      </w:r>
      <w:r w:rsidRPr="002F2F50">
        <w:rPr>
          <w:rFonts w:ascii="Arial" w:hAnsi="Arial" w:cs="Arial"/>
        </w:rPr>
        <w:t>loan funding</w:t>
      </w:r>
      <w:r w:rsidR="00CF17B4">
        <w:rPr>
          <w:rFonts w:ascii="Arial" w:hAnsi="Arial" w:cs="Arial"/>
        </w:rPr>
        <w:t xml:space="preserve"> to subsidiaries and related companies</w:t>
      </w:r>
      <w:r w:rsidRPr="002F2F50">
        <w:rPr>
          <w:rFonts w:ascii="Arial" w:hAnsi="Arial" w:cs="Arial"/>
        </w:rPr>
        <w:t>) the MRP policy will be:</w:t>
      </w:r>
    </w:p>
    <w:p w14:paraId="11DEF71F" w14:textId="77777777" w:rsidR="00E3289C" w:rsidRPr="002F2F50" w:rsidRDefault="00E3289C" w:rsidP="00E3289C">
      <w:pPr>
        <w:widowControl w:val="0"/>
        <w:tabs>
          <w:tab w:val="left" w:pos="-142"/>
        </w:tabs>
      </w:pPr>
    </w:p>
    <w:p w14:paraId="31BB2306" w14:textId="77777777" w:rsidR="00E3289C" w:rsidRPr="002F2F50" w:rsidRDefault="00E3289C" w:rsidP="00D60EFC">
      <w:pPr>
        <w:pStyle w:val="BodyText"/>
        <w:widowControl w:val="0"/>
        <w:numPr>
          <w:ilvl w:val="0"/>
          <w:numId w:val="9"/>
        </w:numPr>
        <w:ind w:left="1134" w:hanging="283"/>
        <w:rPr>
          <w:szCs w:val="24"/>
          <w:lang w:val="en-GB"/>
        </w:rPr>
      </w:pPr>
      <w:r w:rsidRPr="00F23A42">
        <w:rPr>
          <w:b/>
          <w:szCs w:val="24"/>
          <w:lang w:val="en-GB"/>
        </w:rPr>
        <w:t>Option 3 - Asset life method</w:t>
      </w:r>
      <w:r w:rsidRPr="00F23A42">
        <w:rPr>
          <w:szCs w:val="24"/>
          <w:lang w:val="en-GB"/>
        </w:rPr>
        <w:t xml:space="preserve"> –</w:t>
      </w:r>
      <w:r w:rsidRPr="00177238">
        <w:rPr>
          <w:szCs w:val="24"/>
          <w:lang w:val="en-GB"/>
        </w:rPr>
        <w:t xml:space="preserve"> MRP</w:t>
      </w:r>
      <w:r w:rsidRPr="002F2F50">
        <w:rPr>
          <w:szCs w:val="24"/>
          <w:lang w:val="en-GB"/>
        </w:rPr>
        <w:t xml:space="preserve"> will be based on the estimated life of the assets, in accordance with the proposed regulations (this option must be applied for any expenditure capitalised under a Capitalisation Direction).</w:t>
      </w:r>
    </w:p>
    <w:p w14:paraId="733B70F2" w14:textId="77777777" w:rsidR="00E3289C" w:rsidRPr="002F2F50" w:rsidRDefault="00E3289C" w:rsidP="00E3289C">
      <w:pPr>
        <w:pStyle w:val="BodyText"/>
        <w:widowControl w:val="0"/>
        <w:rPr>
          <w:szCs w:val="24"/>
          <w:lang w:val="en-GB"/>
        </w:rPr>
      </w:pPr>
    </w:p>
    <w:p w14:paraId="4A68F6F7" w14:textId="77777777" w:rsidR="00E3289C" w:rsidRPr="002F2F50" w:rsidRDefault="00E3289C" w:rsidP="0056546A">
      <w:pPr>
        <w:widowControl w:val="0"/>
        <w:numPr>
          <w:ilvl w:val="2"/>
          <w:numId w:val="32"/>
        </w:numPr>
        <w:ind w:left="709" w:hanging="709"/>
        <w:jc w:val="both"/>
        <w:rPr>
          <w:rFonts w:ascii="Arial" w:hAnsi="Arial" w:cs="Arial"/>
        </w:rPr>
      </w:pPr>
      <w:r w:rsidRPr="002F2F50">
        <w:rPr>
          <w:rFonts w:ascii="Arial" w:hAnsi="Arial" w:cs="Arial"/>
        </w:rPr>
        <w:lastRenderedPageBreak/>
        <w:t xml:space="preserve">These options provide for a reduction in the borrowing need over approximately the asset’s life. </w:t>
      </w:r>
    </w:p>
    <w:p w14:paraId="37D72FBB" w14:textId="77777777" w:rsidR="00E3289C" w:rsidRPr="002F2F50" w:rsidRDefault="00E3289C" w:rsidP="00E3289C">
      <w:pPr>
        <w:widowControl w:val="0"/>
        <w:tabs>
          <w:tab w:val="left" w:pos="-142"/>
        </w:tabs>
        <w:ind w:left="792"/>
        <w:jc w:val="both"/>
        <w:rPr>
          <w:rFonts w:ascii="Arial" w:hAnsi="Arial" w:cs="Arial"/>
        </w:rPr>
      </w:pPr>
    </w:p>
    <w:p w14:paraId="554EF625" w14:textId="77777777" w:rsidR="00E3289C" w:rsidRPr="007E37E5" w:rsidRDefault="00E3289C" w:rsidP="0056546A">
      <w:pPr>
        <w:widowControl w:val="0"/>
        <w:numPr>
          <w:ilvl w:val="2"/>
          <w:numId w:val="32"/>
        </w:numPr>
        <w:ind w:left="709" w:hanging="709"/>
        <w:jc w:val="both"/>
        <w:rPr>
          <w:rFonts w:ascii="Arial" w:hAnsi="Arial" w:cs="Arial"/>
        </w:rPr>
      </w:pPr>
      <w:r w:rsidRPr="007E37E5">
        <w:rPr>
          <w:rFonts w:ascii="Arial" w:hAnsi="Arial" w:cs="Arial"/>
        </w:rPr>
        <w:t>The Council would not be required to make an MRP contribution until the financial year following completion of development.</w:t>
      </w:r>
    </w:p>
    <w:p w14:paraId="5145C1C8" w14:textId="77777777" w:rsidR="00E3289C" w:rsidRPr="007E37E5" w:rsidRDefault="00E3289C" w:rsidP="00E3289C">
      <w:pPr>
        <w:pStyle w:val="ListParagraph"/>
        <w:widowControl w:val="0"/>
        <w:rPr>
          <w:rFonts w:ascii="Arial" w:hAnsi="Arial" w:cs="Arial"/>
        </w:rPr>
      </w:pPr>
    </w:p>
    <w:p w14:paraId="7C27F569" w14:textId="77777777" w:rsidR="00E3289C" w:rsidRPr="00CF17B4" w:rsidRDefault="00E3289C" w:rsidP="0056546A">
      <w:pPr>
        <w:widowControl w:val="0"/>
        <w:numPr>
          <w:ilvl w:val="2"/>
          <w:numId w:val="32"/>
        </w:numPr>
        <w:ind w:left="709" w:hanging="709"/>
        <w:jc w:val="both"/>
        <w:rPr>
          <w:rFonts w:ascii="Arial" w:hAnsi="Arial" w:cs="Arial"/>
        </w:rPr>
      </w:pPr>
      <w:r w:rsidRPr="00FB3534">
        <w:rPr>
          <w:rFonts w:ascii="Arial" w:hAnsi="Arial" w:cs="Arial"/>
        </w:rPr>
        <w:t>MRP Overpayments</w:t>
      </w:r>
      <w:r w:rsidRPr="007E37E5">
        <w:rPr>
          <w:rFonts w:ascii="Arial" w:hAnsi="Arial" w:cs="Arial"/>
        </w:rPr>
        <w:t xml:space="preserve"> - A change introduced by the revised DLUHC MRP Guidance was the allowance that any charges made over the statutory </w:t>
      </w:r>
      <w:r w:rsidRPr="007E37E5">
        <w:rPr>
          <w:rFonts w:ascii="Arial" w:hAnsi="Arial" w:cs="Arial"/>
          <w:u w:val="single"/>
        </w:rPr>
        <w:t>minimum</w:t>
      </w:r>
      <w:r w:rsidRPr="007E37E5">
        <w:rPr>
          <w:rFonts w:ascii="Arial" w:hAnsi="Arial" w:cs="Arial"/>
        </w:rPr>
        <w:t xml:space="preserve"> revenue provision (MRP), voluntary revenue provision or overpayments, can, if needed, be reclaimed in later years if deemed necessary or prudent.  In order for these sums to be reclaimed for use in the budget, this policy must disclose the cumulative overpayment made each year. As </w:t>
      </w:r>
      <w:proofErr w:type="gramStart"/>
      <w:r w:rsidRPr="007E37E5">
        <w:rPr>
          <w:rFonts w:ascii="Arial" w:hAnsi="Arial" w:cs="Arial"/>
        </w:rPr>
        <w:t>at</w:t>
      </w:r>
      <w:proofErr w:type="gramEnd"/>
      <w:r w:rsidRPr="007E37E5">
        <w:rPr>
          <w:rFonts w:ascii="Arial" w:hAnsi="Arial" w:cs="Arial"/>
        </w:rPr>
        <w:t xml:space="preserve"> 31 March 202</w:t>
      </w:r>
      <w:r>
        <w:rPr>
          <w:rFonts w:ascii="Arial" w:hAnsi="Arial" w:cs="Arial"/>
        </w:rPr>
        <w:t>5</w:t>
      </w:r>
      <w:r w:rsidRPr="007E37E5">
        <w:rPr>
          <w:rFonts w:ascii="Arial" w:hAnsi="Arial" w:cs="Arial"/>
        </w:rPr>
        <w:t>, the cumulative overpayment made is £</w:t>
      </w:r>
      <w:r>
        <w:rPr>
          <w:rFonts w:ascii="Arial" w:hAnsi="Arial" w:cs="Arial"/>
        </w:rPr>
        <w:t>3.998m</w:t>
      </w:r>
      <w:r w:rsidRPr="007E37E5">
        <w:rPr>
          <w:rFonts w:ascii="Arial" w:hAnsi="Arial" w:cs="Arial"/>
        </w:rPr>
        <w:t xml:space="preserve">, refer to paragraph </w:t>
      </w:r>
      <w:r w:rsidRPr="00CF17B4">
        <w:rPr>
          <w:rFonts w:ascii="Arial" w:hAnsi="Arial" w:cs="Arial"/>
        </w:rPr>
        <w:t xml:space="preserve">6.4.2. </w:t>
      </w:r>
    </w:p>
    <w:p w14:paraId="23FEC298" w14:textId="77777777" w:rsidR="00E3289C" w:rsidRPr="00CF17B4" w:rsidRDefault="00E3289C" w:rsidP="00E3289C">
      <w:pPr>
        <w:pStyle w:val="ListParagraph"/>
        <w:rPr>
          <w:rFonts w:ascii="Arial" w:hAnsi="Arial" w:cs="Arial"/>
        </w:rPr>
      </w:pPr>
    </w:p>
    <w:p w14:paraId="7F7C0806" w14:textId="77777777" w:rsidR="00E3289C" w:rsidRPr="002F2F50" w:rsidRDefault="00E3289C" w:rsidP="0056546A">
      <w:pPr>
        <w:widowControl w:val="0"/>
        <w:numPr>
          <w:ilvl w:val="2"/>
          <w:numId w:val="32"/>
        </w:numPr>
        <w:ind w:left="709" w:hanging="709"/>
        <w:jc w:val="both"/>
        <w:rPr>
          <w:rFonts w:ascii="Arial" w:hAnsi="Arial" w:cs="Arial"/>
          <w:b/>
        </w:rPr>
      </w:pPr>
      <w:r w:rsidRPr="00CF17B4">
        <w:rPr>
          <w:rFonts w:ascii="Arial" w:hAnsi="Arial" w:cs="Arial"/>
        </w:rPr>
        <w:t>MRP and Commercial Loans – In November 2021, the government proposed that loans made for commercial purposes and are repayable at least annually</w:t>
      </w:r>
      <w:r w:rsidRPr="002F2F50">
        <w:rPr>
          <w:rFonts w:ascii="Arial" w:hAnsi="Arial" w:cs="Arial"/>
        </w:rPr>
        <w:t xml:space="preserve"> the capital receipts from these repayments can be used instead of a revenue charge to meet the MRP requirement. If these proposals are </w:t>
      </w:r>
      <w:proofErr w:type="gramStart"/>
      <w:r w:rsidRPr="002F2F50">
        <w:rPr>
          <w:rFonts w:ascii="Arial" w:hAnsi="Arial" w:cs="Arial"/>
        </w:rPr>
        <w:t>initiated</w:t>
      </w:r>
      <w:proofErr w:type="gramEnd"/>
      <w:r w:rsidRPr="002F2F50">
        <w:rPr>
          <w:rFonts w:ascii="Arial" w:hAnsi="Arial" w:cs="Arial"/>
        </w:rPr>
        <w:t xml:space="preserve"> they will only apply in the year of receipt and will not be retrospective.</w:t>
      </w:r>
    </w:p>
    <w:p w14:paraId="544CC0F8" w14:textId="77777777" w:rsidR="00E3289C" w:rsidRPr="002F2F50" w:rsidRDefault="00E3289C" w:rsidP="00E3289C">
      <w:pPr>
        <w:pStyle w:val="ListParagraph"/>
        <w:rPr>
          <w:rFonts w:ascii="Arial" w:hAnsi="Arial" w:cs="Arial"/>
          <w:b/>
        </w:rPr>
      </w:pPr>
    </w:p>
    <w:p w14:paraId="1F93CE6D" w14:textId="721A9020" w:rsidR="00E3289C" w:rsidRPr="00DA7032" w:rsidRDefault="00E3289C" w:rsidP="0056546A">
      <w:pPr>
        <w:widowControl w:val="0"/>
        <w:numPr>
          <w:ilvl w:val="2"/>
          <w:numId w:val="32"/>
        </w:numPr>
        <w:ind w:left="709" w:hanging="709"/>
        <w:jc w:val="both"/>
        <w:rPr>
          <w:rFonts w:ascii="Arial" w:hAnsi="Arial" w:cs="Arial"/>
        </w:rPr>
      </w:pPr>
      <w:r w:rsidRPr="00DA7032">
        <w:rPr>
          <w:rFonts w:ascii="Arial" w:hAnsi="Arial" w:cs="Arial"/>
        </w:rPr>
        <w:t xml:space="preserve">The CFR includes the </w:t>
      </w:r>
      <w:r w:rsidR="00CF17B4">
        <w:rPr>
          <w:rFonts w:ascii="Arial" w:hAnsi="Arial" w:cs="Arial"/>
        </w:rPr>
        <w:t xml:space="preserve">capital </w:t>
      </w:r>
      <w:r w:rsidRPr="00DA7032">
        <w:rPr>
          <w:rFonts w:ascii="Arial" w:hAnsi="Arial" w:cs="Arial"/>
        </w:rPr>
        <w:t xml:space="preserve">loan to </w:t>
      </w:r>
      <w:proofErr w:type="spellStart"/>
      <w:r w:rsidRPr="00DA7032">
        <w:rPr>
          <w:rFonts w:ascii="Arial" w:hAnsi="Arial" w:cs="Arial"/>
        </w:rPr>
        <w:t>InspireAll</w:t>
      </w:r>
      <w:proofErr w:type="spellEnd"/>
      <w:r w:rsidRPr="00DA7032">
        <w:rPr>
          <w:rFonts w:ascii="Arial" w:hAnsi="Arial" w:cs="Arial"/>
        </w:rPr>
        <w:t xml:space="preserve"> (refer to paragraph </w:t>
      </w:r>
      <w:r w:rsidR="005052BE">
        <w:rPr>
          <w:rFonts w:ascii="Arial" w:hAnsi="Arial" w:cs="Arial"/>
        </w:rPr>
        <w:t>6.6</w:t>
      </w:r>
      <w:r w:rsidRPr="00DA7032">
        <w:rPr>
          <w:rFonts w:ascii="Arial" w:hAnsi="Arial" w:cs="Arial"/>
        </w:rPr>
        <w:t xml:space="preserve">), which as </w:t>
      </w:r>
      <w:proofErr w:type="gramStart"/>
      <w:r w:rsidRPr="00DA7032">
        <w:rPr>
          <w:rFonts w:ascii="Arial" w:hAnsi="Arial" w:cs="Arial"/>
        </w:rPr>
        <w:t>at</w:t>
      </w:r>
      <w:proofErr w:type="gramEnd"/>
      <w:r w:rsidRPr="00DA7032">
        <w:rPr>
          <w:rFonts w:ascii="Arial" w:hAnsi="Arial" w:cs="Arial"/>
        </w:rPr>
        <w:t xml:space="preserve"> 31 March 202</w:t>
      </w:r>
      <w:r>
        <w:rPr>
          <w:rFonts w:ascii="Arial" w:hAnsi="Arial" w:cs="Arial"/>
        </w:rPr>
        <w:t>5</w:t>
      </w:r>
      <w:r w:rsidRPr="00DA7032">
        <w:rPr>
          <w:rFonts w:ascii="Arial" w:hAnsi="Arial" w:cs="Arial"/>
        </w:rPr>
        <w:t xml:space="preserve"> had an outstanding balance of £</w:t>
      </w:r>
      <w:r>
        <w:rPr>
          <w:rFonts w:ascii="Arial" w:hAnsi="Arial" w:cs="Arial"/>
        </w:rPr>
        <w:t>3.15</w:t>
      </w:r>
      <w:r w:rsidRPr="00DA7032">
        <w:rPr>
          <w:rFonts w:ascii="Arial" w:hAnsi="Arial" w:cs="Arial"/>
        </w:rPr>
        <w:t>m. This loan is being repaid on an annuity basis with principal and interest being repaid monthly. An MRP contribution is therefore not required in relation to this capital loan.</w:t>
      </w:r>
    </w:p>
    <w:p w14:paraId="0462E765" w14:textId="77777777" w:rsidR="00E3289C" w:rsidRPr="00DA7032" w:rsidRDefault="00E3289C" w:rsidP="00E3289C">
      <w:pPr>
        <w:pStyle w:val="ListParagraph"/>
        <w:rPr>
          <w:rFonts w:ascii="Arial" w:hAnsi="Arial" w:cs="Arial"/>
        </w:rPr>
      </w:pPr>
    </w:p>
    <w:p w14:paraId="6153BF38" w14:textId="477B10C5" w:rsidR="00E3289C" w:rsidRPr="00DA7032" w:rsidRDefault="00E3289C" w:rsidP="0056546A">
      <w:pPr>
        <w:widowControl w:val="0"/>
        <w:numPr>
          <w:ilvl w:val="2"/>
          <w:numId w:val="32"/>
        </w:numPr>
        <w:ind w:left="709" w:hanging="709"/>
        <w:jc w:val="both"/>
        <w:rPr>
          <w:rFonts w:ascii="Arial" w:hAnsi="Arial" w:cs="Arial"/>
        </w:rPr>
      </w:pPr>
      <w:r>
        <w:rPr>
          <w:rFonts w:ascii="Arial" w:hAnsi="Arial" w:cs="Arial"/>
        </w:rPr>
        <w:t>The CFR includes two capital loans, amounting to £2.8</w:t>
      </w:r>
      <w:r w:rsidR="00FB3534">
        <w:rPr>
          <w:rFonts w:ascii="Arial" w:hAnsi="Arial" w:cs="Arial"/>
        </w:rPr>
        <w:t>m to HLL (refer to paragraph 6.6</w:t>
      </w:r>
      <w:r>
        <w:rPr>
          <w:rFonts w:ascii="Arial" w:hAnsi="Arial" w:cs="Arial"/>
        </w:rPr>
        <w:t xml:space="preserve"> above) for the purchase of new social housing. These loans are to be repaid over 40 </w:t>
      </w:r>
      <w:proofErr w:type="gramStart"/>
      <w:r>
        <w:rPr>
          <w:rFonts w:ascii="Arial" w:hAnsi="Arial" w:cs="Arial"/>
        </w:rPr>
        <w:t>year</w:t>
      </w:r>
      <w:proofErr w:type="gramEnd"/>
      <w:r>
        <w:rPr>
          <w:rFonts w:ascii="Arial" w:hAnsi="Arial" w:cs="Arial"/>
        </w:rPr>
        <w:t xml:space="preserve"> on an annuity basis with the loan principal being fully repaid over the term of the loan. </w:t>
      </w:r>
      <w:r w:rsidRPr="00DA7032">
        <w:rPr>
          <w:rFonts w:ascii="Arial" w:hAnsi="Arial" w:cs="Arial"/>
        </w:rPr>
        <w:t xml:space="preserve">An MRP contribution is therefore </w:t>
      </w:r>
      <w:r>
        <w:rPr>
          <w:rFonts w:ascii="Arial" w:hAnsi="Arial" w:cs="Arial"/>
        </w:rPr>
        <w:t>not required in relation to these</w:t>
      </w:r>
      <w:r w:rsidRPr="00DA7032">
        <w:rPr>
          <w:rFonts w:ascii="Arial" w:hAnsi="Arial" w:cs="Arial"/>
        </w:rPr>
        <w:t xml:space="preserve"> capital loan</w:t>
      </w:r>
      <w:r>
        <w:rPr>
          <w:rFonts w:ascii="Arial" w:hAnsi="Arial" w:cs="Arial"/>
        </w:rPr>
        <w:t>s</w:t>
      </w:r>
      <w:r w:rsidRPr="00DA7032">
        <w:rPr>
          <w:rFonts w:ascii="Arial" w:hAnsi="Arial" w:cs="Arial"/>
        </w:rPr>
        <w:t>.</w:t>
      </w:r>
    </w:p>
    <w:p w14:paraId="64DBA3A7" w14:textId="77777777" w:rsidR="00E3289C" w:rsidRPr="005C435D" w:rsidRDefault="00E3289C" w:rsidP="00E3289C">
      <w:pPr>
        <w:widowControl w:val="0"/>
        <w:tabs>
          <w:tab w:val="left" w:pos="-142"/>
        </w:tabs>
        <w:jc w:val="both"/>
        <w:rPr>
          <w:rFonts w:ascii="Arial" w:hAnsi="Arial" w:cs="Arial"/>
          <w:highlight w:val="yellow"/>
        </w:rPr>
      </w:pPr>
    </w:p>
    <w:p w14:paraId="5922357A" w14:textId="77777777" w:rsidR="00E3289C" w:rsidRPr="002F2F50" w:rsidRDefault="00E3289C" w:rsidP="0056546A">
      <w:pPr>
        <w:widowControl w:val="0"/>
        <w:numPr>
          <w:ilvl w:val="1"/>
          <w:numId w:val="32"/>
        </w:numPr>
        <w:ind w:left="709" w:hanging="709"/>
        <w:rPr>
          <w:rFonts w:ascii="Arial" w:hAnsi="Arial" w:cs="Arial"/>
          <w:b/>
        </w:rPr>
      </w:pPr>
      <w:r w:rsidRPr="002F2F50">
        <w:rPr>
          <w:rFonts w:ascii="Arial" w:hAnsi="Arial" w:cs="Arial"/>
          <w:b/>
        </w:rPr>
        <w:t xml:space="preserve">Affordability prudential indicator </w:t>
      </w:r>
    </w:p>
    <w:p w14:paraId="106A742C" w14:textId="77777777" w:rsidR="00E3289C" w:rsidRPr="002F2F50" w:rsidRDefault="00E3289C" w:rsidP="00E3289C">
      <w:pPr>
        <w:widowControl w:val="0"/>
        <w:tabs>
          <w:tab w:val="left" w:pos="0"/>
        </w:tabs>
        <w:ind w:left="792"/>
        <w:rPr>
          <w:rFonts w:ascii="Arial" w:hAnsi="Arial" w:cs="Arial"/>
        </w:rPr>
      </w:pPr>
    </w:p>
    <w:p w14:paraId="75D56B8C" w14:textId="169DA51D" w:rsidR="00976AAD" w:rsidRDefault="00E3289C" w:rsidP="00976AAD">
      <w:pPr>
        <w:widowControl w:val="0"/>
        <w:numPr>
          <w:ilvl w:val="2"/>
          <w:numId w:val="32"/>
        </w:numPr>
        <w:ind w:left="709" w:hanging="709"/>
        <w:jc w:val="both"/>
        <w:rPr>
          <w:rFonts w:ascii="Arial" w:hAnsi="Arial" w:cs="Arial"/>
        </w:rPr>
      </w:pPr>
      <w:r w:rsidRPr="002F2F50">
        <w:rPr>
          <w:rFonts w:ascii="Arial" w:hAnsi="Arial" w:cs="Arial"/>
        </w:rPr>
        <w:t>The previous sections cover the overall capital and control of borrowing prudential indicators, but within this framework prudential indicators are required to also assess the affordability of the capital i</w:t>
      </w:r>
      <w:r w:rsidR="00976AAD">
        <w:rPr>
          <w:rFonts w:ascii="Arial" w:hAnsi="Arial" w:cs="Arial"/>
        </w:rPr>
        <w:t xml:space="preserve">nvestment plans. The following </w:t>
      </w:r>
      <w:r w:rsidRPr="002F2F50">
        <w:rPr>
          <w:rFonts w:ascii="Arial" w:hAnsi="Arial" w:cs="Arial"/>
        </w:rPr>
        <w:t xml:space="preserve">indicator </w:t>
      </w:r>
      <w:proofErr w:type="gramStart"/>
      <w:r w:rsidRPr="002F2F50">
        <w:rPr>
          <w:rFonts w:ascii="Arial" w:hAnsi="Arial" w:cs="Arial"/>
        </w:rPr>
        <w:t>provide</w:t>
      </w:r>
      <w:proofErr w:type="gramEnd"/>
      <w:r w:rsidRPr="002F2F50">
        <w:rPr>
          <w:rFonts w:ascii="Arial" w:hAnsi="Arial" w:cs="Arial"/>
        </w:rPr>
        <w:t xml:space="preserve"> an indication of the impact of the Council’s capital investment plans on its overall finances. The Council is asked to approve the following indicator:</w:t>
      </w:r>
    </w:p>
    <w:p w14:paraId="68E0A4A9" w14:textId="77777777" w:rsidR="00976AAD" w:rsidRDefault="00976AAD" w:rsidP="00976AAD">
      <w:pPr>
        <w:widowControl w:val="0"/>
        <w:ind w:left="709"/>
        <w:jc w:val="both"/>
        <w:rPr>
          <w:rFonts w:ascii="Arial" w:hAnsi="Arial" w:cs="Arial"/>
        </w:rPr>
      </w:pPr>
    </w:p>
    <w:p w14:paraId="592F516D" w14:textId="1C6AD49A" w:rsidR="00E3289C" w:rsidRPr="00976AAD" w:rsidRDefault="00E3289C" w:rsidP="00976AAD">
      <w:pPr>
        <w:widowControl w:val="0"/>
        <w:ind w:left="709"/>
        <w:jc w:val="both"/>
        <w:rPr>
          <w:rFonts w:ascii="Arial" w:hAnsi="Arial" w:cs="Arial"/>
        </w:rPr>
      </w:pPr>
      <w:r w:rsidRPr="00976AAD">
        <w:rPr>
          <w:rFonts w:ascii="Arial" w:hAnsi="Arial" w:cs="Arial"/>
          <w:b/>
        </w:rPr>
        <w:t xml:space="preserve">Ratio of financing costs to net revenue stream. </w:t>
      </w:r>
      <w:r w:rsidRPr="00976AAD">
        <w:rPr>
          <w:rFonts w:ascii="Arial" w:hAnsi="Arial" w:cs="Arial"/>
        </w:rPr>
        <w:t>This indicator identifies the trend in the cost of capital (borrowing and other long-term obligation costs net of investment income) against the net revenue stream. The estimates of financing costs include current commitments and the proposals in the budget report.</w:t>
      </w:r>
    </w:p>
    <w:p w14:paraId="0753BAF0" w14:textId="77777777" w:rsidR="00E3289C" w:rsidRPr="008C63D7" w:rsidRDefault="00E3289C" w:rsidP="00E3289C">
      <w:pPr>
        <w:widowControl w:val="0"/>
        <w:ind w:left="709"/>
        <w:jc w:val="both"/>
        <w:rPr>
          <w:rFonts w:ascii="Arial" w:hAnsi="Arial" w:cs="Arial"/>
        </w:rPr>
      </w:pPr>
      <w:bookmarkStart w:id="4" w:name="_Toc339459875"/>
    </w:p>
    <w:bookmarkEnd w:id="4"/>
    <w:p w14:paraId="323731BA" w14:textId="77777777" w:rsidR="00E3289C" w:rsidRDefault="00E3289C" w:rsidP="00CF17B4">
      <w:pPr>
        <w:keepNext/>
        <w:widowControl w:val="0"/>
        <w:ind w:left="709"/>
        <w:jc w:val="both"/>
        <w:rPr>
          <w:rFonts w:ascii="Arial" w:hAnsi="Arial" w:cs="Arial"/>
          <w:b/>
        </w:rPr>
      </w:pPr>
      <w:r w:rsidRPr="009F7241">
        <w:rPr>
          <w:rFonts w:ascii="Arial" w:hAnsi="Arial" w:cs="Arial"/>
          <w:b/>
        </w:rPr>
        <w:lastRenderedPageBreak/>
        <w:t xml:space="preserve">Table 5 </w:t>
      </w:r>
      <w:r>
        <w:rPr>
          <w:rFonts w:ascii="Arial" w:hAnsi="Arial" w:cs="Arial"/>
          <w:b/>
        </w:rPr>
        <w:t>–</w:t>
      </w:r>
      <w:r w:rsidRPr="009F7241">
        <w:rPr>
          <w:rFonts w:ascii="Arial" w:hAnsi="Arial" w:cs="Arial"/>
          <w:b/>
        </w:rPr>
        <w:t xml:space="preserve"> </w:t>
      </w:r>
      <w:r>
        <w:rPr>
          <w:rFonts w:ascii="Arial" w:hAnsi="Arial" w:cs="Arial"/>
          <w:b/>
        </w:rPr>
        <w:t>Affordability Prudential Indicator</w:t>
      </w:r>
    </w:p>
    <w:p w14:paraId="0A7B6A51" w14:textId="77777777" w:rsidR="00E3289C" w:rsidRDefault="00E3289C" w:rsidP="00E3289C">
      <w:pPr>
        <w:keepNext/>
        <w:rPr>
          <w:noProof/>
          <w:lang w:eastAsia="en-GB"/>
        </w:rPr>
      </w:pPr>
    </w:p>
    <w:tbl>
      <w:tblPr>
        <w:tblW w:w="0" w:type="auto"/>
        <w:tblLook w:val="04A0" w:firstRow="1" w:lastRow="0" w:firstColumn="1" w:lastColumn="0" w:noHBand="0" w:noVBand="1"/>
      </w:tblPr>
      <w:tblGrid>
        <w:gridCol w:w="3029"/>
        <w:gridCol w:w="1109"/>
        <w:gridCol w:w="1217"/>
        <w:gridCol w:w="1217"/>
        <w:gridCol w:w="1217"/>
        <w:gridCol w:w="1217"/>
      </w:tblGrid>
      <w:tr w:rsidR="00E3289C" w14:paraId="66164CDA" w14:textId="77777777" w:rsidTr="00E3289C">
        <w:trPr>
          <w:trHeight w:val="315"/>
        </w:trPr>
        <w:tc>
          <w:tcPr>
            <w:tcW w:w="0" w:type="auto"/>
            <w:vMerge w:val="restart"/>
            <w:tcBorders>
              <w:top w:val="single" w:sz="8" w:space="0" w:color="auto"/>
              <w:left w:val="single" w:sz="8" w:space="0" w:color="auto"/>
              <w:bottom w:val="single" w:sz="8" w:space="0" w:color="000000"/>
              <w:right w:val="single" w:sz="8" w:space="0" w:color="auto"/>
            </w:tcBorders>
            <w:shd w:val="clear" w:color="000000" w:fill="B3B3B3"/>
            <w:vAlign w:val="center"/>
            <w:hideMark/>
          </w:tcPr>
          <w:p w14:paraId="3BAA4C50" w14:textId="77777777" w:rsidR="00E3289C" w:rsidRDefault="00E3289C" w:rsidP="00E3289C">
            <w:pPr>
              <w:keepNext/>
              <w:rPr>
                <w:color w:val="000000"/>
                <w:sz w:val="20"/>
                <w:szCs w:val="20"/>
                <w:lang w:eastAsia="en-GB"/>
              </w:rPr>
            </w:pPr>
            <w:r>
              <w:rPr>
                <w:color w:val="000000"/>
                <w:sz w:val="20"/>
                <w:szCs w:val="20"/>
              </w:rPr>
              <w:t> </w:t>
            </w:r>
          </w:p>
        </w:tc>
        <w:tc>
          <w:tcPr>
            <w:tcW w:w="0" w:type="auto"/>
            <w:tcBorders>
              <w:top w:val="single" w:sz="8" w:space="0" w:color="auto"/>
              <w:left w:val="nil"/>
              <w:bottom w:val="nil"/>
              <w:right w:val="single" w:sz="8" w:space="0" w:color="auto"/>
            </w:tcBorders>
            <w:shd w:val="clear" w:color="000000" w:fill="A6A6A6"/>
            <w:vAlign w:val="center"/>
            <w:hideMark/>
          </w:tcPr>
          <w:p w14:paraId="0F3E7D52" w14:textId="77777777" w:rsidR="00E3289C" w:rsidRDefault="00E3289C" w:rsidP="00E3289C">
            <w:pPr>
              <w:keepNext/>
              <w:rPr>
                <w:rFonts w:ascii="Arial" w:hAnsi="Arial" w:cs="Arial"/>
                <w:b/>
                <w:bCs/>
                <w:color w:val="000000"/>
              </w:rPr>
            </w:pPr>
            <w:r>
              <w:rPr>
                <w:rFonts w:ascii="Arial" w:hAnsi="Arial" w:cs="Arial"/>
                <w:b/>
                <w:bCs/>
                <w:color w:val="000000"/>
              </w:rPr>
              <w:t>2025/26</w:t>
            </w:r>
          </w:p>
        </w:tc>
        <w:tc>
          <w:tcPr>
            <w:tcW w:w="0" w:type="auto"/>
            <w:tcBorders>
              <w:top w:val="single" w:sz="8" w:space="0" w:color="auto"/>
              <w:left w:val="nil"/>
              <w:bottom w:val="nil"/>
              <w:right w:val="single" w:sz="8" w:space="0" w:color="auto"/>
            </w:tcBorders>
            <w:shd w:val="clear" w:color="000000" w:fill="A6A6A6"/>
            <w:vAlign w:val="center"/>
            <w:hideMark/>
          </w:tcPr>
          <w:p w14:paraId="6B5A679C" w14:textId="77777777" w:rsidR="00E3289C" w:rsidRDefault="00E3289C" w:rsidP="00E3289C">
            <w:pPr>
              <w:keepNext/>
              <w:jc w:val="center"/>
              <w:rPr>
                <w:rFonts w:ascii="Arial" w:hAnsi="Arial" w:cs="Arial"/>
                <w:b/>
                <w:bCs/>
                <w:color w:val="000000"/>
              </w:rPr>
            </w:pPr>
            <w:r>
              <w:rPr>
                <w:rFonts w:ascii="Arial" w:hAnsi="Arial" w:cs="Arial"/>
                <w:b/>
                <w:bCs/>
                <w:color w:val="000000"/>
              </w:rPr>
              <w:t>2025/26</w:t>
            </w:r>
          </w:p>
        </w:tc>
        <w:tc>
          <w:tcPr>
            <w:tcW w:w="0" w:type="auto"/>
            <w:tcBorders>
              <w:top w:val="single" w:sz="8" w:space="0" w:color="auto"/>
              <w:left w:val="nil"/>
              <w:bottom w:val="nil"/>
              <w:right w:val="single" w:sz="8" w:space="0" w:color="auto"/>
            </w:tcBorders>
            <w:shd w:val="clear" w:color="000000" w:fill="A6A6A6"/>
            <w:vAlign w:val="center"/>
            <w:hideMark/>
          </w:tcPr>
          <w:p w14:paraId="0645CE0D" w14:textId="77777777" w:rsidR="00E3289C" w:rsidRDefault="00E3289C" w:rsidP="00E3289C">
            <w:pPr>
              <w:keepNext/>
              <w:jc w:val="center"/>
              <w:rPr>
                <w:rFonts w:ascii="Arial" w:hAnsi="Arial" w:cs="Arial"/>
                <w:b/>
                <w:bCs/>
                <w:color w:val="000000"/>
              </w:rPr>
            </w:pPr>
            <w:r>
              <w:rPr>
                <w:rFonts w:ascii="Arial" w:hAnsi="Arial" w:cs="Arial"/>
                <w:b/>
                <w:bCs/>
                <w:color w:val="000000"/>
              </w:rPr>
              <w:t>2026/27</w:t>
            </w:r>
          </w:p>
        </w:tc>
        <w:tc>
          <w:tcPr>
            <w:tcW w:w="0" w:type="auto"/>
            <w:tcBorders>
              <w:top w:val="single" w:sz="8" w:space="0" w:color="auto"/>
              <w:left w:val="nil"/>
              <w:bottom w:val="nil"/>
              <w:right w:val="single" w:sz="8" w:space="0" w:color="auto"/>
            </w:tcBorders>
            <w:shd w:val="clear" w:color="000000" w:fill="A6A6A6"/>
            <w:vAlign w:val="center"/>
            <w:hideMark/>
          </w:tcPr>
          <w:p w14:paraId="3EFE7E4C" w14:textId="77777777" w:rsidR="00E3289C" w:rsidRDefault="00E3289C" w:rsidP="00E3289C">
            <w:pPr>
              <w:keepNext/>
              <w:jc w:val="center"/>
              <w:rPr>
                <w:rFonts w:ascii="Arial" w:hAnsi="Arial" w:cs="Arial"/>
                <w:b/>
                <w:bCs/>
                <w:color w:val="000000"/>
              </w:rPr>
            </w:pPr>
            <w:r>
              <w:rPr>
                <w:rFonts w:ascii="Arial" w:hAnsi="Arial" w:cs="Arial"/>
                <w:b/>
                <w:bCs/>
                <w:color w:val="000000"/>
              </w:rPr>
              <w:t>2027/28</w:t>
            </w:r>
          </w:p>
        </w:tc>
        <w:tc>
          <w:tcPr>
            <w:tcW w:w="0" w:type="auto"/>
            <w:tcBorders>
              <w:top w:val="single" w:sz="8" w:space="0" w:color="auto"/>
              <w:left w:val="nil"/>
              <w:bottom w:val="nil"/>
              <w:right w:val="single" w:sz="8" w:space="0" w:color="auto"/>
            </w:tcBorders>
            <w:shd w:val="clear" w:color="000000" w:fill="A6A6A6"/>
            <w:vAlign w:val="center"/>
            <w:hideMark/>
          </w:tcPr>
          <w:p w14:paraId="443FFE94" w14:textId="77777777" w:rsidR="00E3289C" w:rsidRDefault="00E3289C" w:rsidP="00E3289C">
            <w:pPr>
              <w:keepNext/>
              <w:jc w:val="center"/>
              <w:rPr>
                <w:rFonts w:ascii="Arial" w:hAnsi="Arial" w:cs="Arial"/>
                <w:b/>
                <w:bCs/>
                <w:color w:val="000000"/>
              </w:rPr>
            </w:pPr>
            <w:r>
              <w:rPr>
                <w:rFonts w:ascii="Arial" w:hAnsi="Arial" w:cs="Arial"/>
                <w:b/>
                <w:bCs/>
                <w:color w:val="000000"/>
              </w:rPr>
              <w:t>2028/29</w:t>
            </w:r>
          </w:p>
        </w:tc>
      </w:tr>
      <w:tr w:rsidR="00E3289C" w14:paraId="3EFFEAF6" w14:textId="77777777" w:rsidTr="00E3289C">
        <w:trPr>
          <w:trHeight w:val="33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08F4647" w14:textId="77777777" w:rsidR="00E3289C" w:rsidRDefault="00E3289C" w:rsidP="00E3289C">
            <w:pPr>
              <w:rPr>
                <w:color w:val="000000"/>
                <w:sz w:val="20"/>
                <w:szCs w:val="20"/>
              </w:rPr>
            </w:pPr>
          </w:p>
        </w:tc>
        <w:tc>
          <w:tcPr>
            <w:tcW w:w="0" w:type="auto"/>
            <w:tcBorders>
              <w:top w:val="nil"/>
              <w:left w:val="nil"/>
              <w:bottom w:val="single" w:sz="8" w:space="0" w:color="auto"/>
              <w:right w:val="single" w:sz="8" w:space="0" w:color="auto"/>
            </w:tcBorders>
            <w:shd w:val="clear" w:color="000000" w:fill="A6A6A6"/>
            <w:vAlign w:val="center"/>
            <w:hideMark/>
          </w:tcPr>
          <w:p w14:paraId="1387C7AB" w14:textId="77777777" w:rsidR="00E3289C" w:rsidRDefault="00E3289C" w:rsidP="00E3289C">
            <w:pPr>
              <w:jc w:val="center"/>
              <w:rPr>
                <w:rFonts w:ascii="Arial" w:hAnsi="Arial" w:cs="Arial"/>
                <w:b/>
                <w:bCs/>
                <w:color w:val="000000"/>
              </w:rPr>
            </w:pPr>
            <w:r>
              <w:rPr>
                <w:rFonts w:ascii="Arial" w:hAnsi="Arial" w:cs="Arial"/>
                <w:b/>
                <w:bCs/>
                <w:color w:val="000000"/>
              </w:rPr>
              <w:t>Budget</w:t>
            </w:r>
          </w:p>
        </w:tc>
        <w:tc>
          <w:tcPr>
            <w:tcW w:w="0" w:type="auto"/>
            <w:tcBorders>
              <w:top w:val="nil"/>
              <w:left w:val="nil"/>
              <w:bottom w:val="single" w:sz="8" w:space="0" w:color="auto"/>
              <w:right w:val="single" w:sz="8" w:space="0" w:color="auto"/>
            </w:tcBorders>
            <w:shd w:val="clear" w:color="000000" w:fill="A6A6A6"/>
            <w:vAlign w:val="center"/>
            <w:hideMark/>
          </w:tcPr>
          <w:p w14:paraId="5B03B59A" w14:textId="77777777" w:rsidR="00E3289C" w:rsidRDefault="00E3289C" w:rsidP="00E3289C">
            <w:pPr>
              <w:jc w:val="center"/>
              <w:rPr>
                <w:rFonts w:ascii="Arial" w:hAnsi="Arial" w:cs="Arial"/>
                <w:b/>
                <w:bCs/>
                <w:color w:val="000000"/>
              </w:rPr>
            </w:pPr>
            <w:r>
              <w:rPr>
                <w:rFonts w:ascii="Arial" w:hAnsi="Arial" w:cs="Arial"/>
                <w:b/>
                <w:bCs/>
                <w:color w:val="000000"/>
              </w:rPr>
              <w:t>Forecast</w:t>
            </w:r>
          </w:p>
        </w:tc>
        <w:tc>
          <w:tcPr>
            <w:tcW w:w="0" w:type="auto"/>
            <w:tcBorders>
              <w:top w:val="nil"/>
              <w:left w:val="nil"/>
              <w:bottom w:val="single" w:sz="8" w:space="0" w:color="auto"/>
              <w:right w:val="single" w:sz="8" w:space="0" w:color="auto"/>
            </w:tcBorders>
            <w:shd w:val="clear" w:color="000000" w:fill="A6A6A6"/>
            <w:vAlign w:val="center"/>
            <w:hideMark/>
          </w:tcPr>
          <w:p w14:paraId="385AA90E" w14:textId="77777777" w:rsidR="00E3289C" w:rsidRDefault="00E3289C" w:rsidP="00E3289C">
            <w:pPr>
              <w:jc w:val="center"/>
              <w:rPr>
                <w:rFonts w:ascii="Arial" w:hAnsi="Arial" w:cs="Arial"/>
                <w:b/>
                <w:bCs/>
                <w:color w:val="000000"/>
              </w:rPr>
            </w:pPr>
            <w:r>
              <w:rPr>
                <w:rFonts w:ascii="Arial" w:hAnsi="Arial" w:cs="Arial"/>
                <w:b/>
                <w:bCs/>
                <w:color w:val="000000"/>
              </w:rPr>
              <w:t>Estimate</w:t>
            </w:r>
          </w:p>
        </w:tc>
        <w:tc>
          <w:tcPr>
            <w:tcW w:w="0" w:type="auto"/>
            <w:tcBorders>
              <w:top w:val="nil"/>
              <w:left w:val="nil"/>
              <w:bottom w:val="single" w:sz="8" w:space="0" w:color="auto"/>
              <w:right w:val="single" w:sz="8" w:space="0" w:color="auto"/>
            </w:tcBorders>
            <w:shd w:val="clear" w:color="000000" w:fill="A6A6A6"/>
            <w:vAlign w:val="center"/>
            <w:hideMark/>
          </w:tcPr>
          <w:p w14:paraId="091440A0" w14:textId="77777777" w:rsidR="00E3289C" w:rsidRDefault="00E3289C" w:rsidP="00E3289C">
            <w:pPr>
              <w:jc w:val="center"/>
              <w:rPr>
                <w:rFonts w:ascii="Arial" w:hAnsi="Arial" w:cs="Arial"/>
                <w:b/>
                <w:bCs/>
                <w:color w:val="000000"/>
              </w:rPr>
            </w:pPr>
            <w:r>
              <w:rPr>
                <w:rFonts w:ascii="Arial" w:hAnsi="Arial" w:cs="Arial"/>
                <w:b/>
                <w:bCs/>
                <w:color w:val="000000"/>
              </w:rPr>
              <w:t>Estimate</w:t>
            </w:r>
          </w:p>
        </w:tc>
        <w:tc>
          <w:tcPr>
            <w:tcW w:w="0" w:type="auto"/>
            <w:tcBorders>
              <w:top w:val="nil"/>
              <w:left w:val="nil"/>
              <w:bottom w:val="single" w:sz="8" w:space="0" w:color="auto"/>
              <w:right w:val="single" w:sz="8" w:space="0" w:color="auto"/>
            </w:tcBorders>
            <w:shd w:val="clear" w:color="000000" w:fill="A6A6A6"/>
            <w:vAlign w:val="center"/>
            <w:hideMark/>
          </w:tcPr>
          <w:p w14:paraId="68FFF8FD" w14:textId="77777777" w:rsidR="00E3289C" w:rsidRDefault="00E3289C" w:rsidP="00E3289C">
            <w:pPr>
              <w:jc w:val="center"/>
              <w:rPr>
                <w:rFonts w:ascii="Arial" w:hAnsi="Arial" w:cs="Arial"/>
                <w:b/>
                <w:bCs/>
                <w:color w:val="000000"/>
              </w:rPr>
            </w:pPr>
            <w:r>
              <w:rPr>
                <w:rFonts w:ascii="Arial" w:hAnsi="Arial" w:cs="Arial"/>
                <w:b/>
                <w:bCs/>
                <w:color w:val="000000"/>
              </w:rPr>
              <w:t>Estimate</w:t>
            </w:r>
          </w:p>
        </w:tc>
      </w:tr>
      <w:tr w:rsidR="00E3289C" w14:paraId="1F2B938C" w14:textId="77777777" w:rsidTr="00E3289C">
        <w:trPr>
          <w:trHeight w:val="330"/>
        </w:trPr>
        <w:tc>
          <w:tcPr>
            <w:tcW w:w="0" w:type="auto"/>
            <w:tcBorders>
              <w:top w:val="nil"/>
              <w:left w:val="single" w:sz="8" w:space="0" w:color="auto"/>
              <w:bottom w:val="single" w:sz="8" w:space="0" w:color="auto"/>
              <w:right w:val="single" w:sz="8" w:space="0" w:color="auto"/>
            </w:tcBorders>
            <w:vAlign w:val="center"/>
            <w:hideMark/>
          </w:tcPr>
          <w:p w14:paraId="7AE5AC2A" w14:textId="77777777" w:rsidR="00E3289C" w:rsidRDefault="00E3289C" w:rsidP="00E3289C">
            <w:pPr>
              <w:rPr>
                <w:rFonts w:ascii="Arial" w:hAnsi="Arial" w:cs="Arial"/>
                <w:b/>
                <w:bCs/>
                <w:color w:val="000000"/>
              </w:rPr>
            </w:pPr>
            <w:r>
              <w:rPr>
                <w:rFonts w:ascii="Arial" w:hAnsi="Arial" w:cs="Arial"/>
                <w:b/>
                <w:bCs/>
                <w:color w:val="000000"/>
              </w:rPr>
              <w:t>Ratio of financing costs to net revenue</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80ACE6D" w14:textId="77777777" w:rsidR="00E3289C" w:rsidRDefault="00E3289C" w:rsidP="00E3289C">
            <w:pPr>
              <w:jc w:val="right"/>
              <w:rPr>
                <w:rFonts w:ascii="Arial" w:hAnsi="Arial" w:cs="Arial"/>
                <w:color w:val="000000"/>
                <w:sz w:val="22"/>
                <w:szCs w:val="22"/>
              </w:rPr>
            </w:pPr>
            <w:r>
              <w:rPr>
                <w:rFonts w:ascii="Arial" w:hAnsi="Arial" w:cs="Arial"/>
                <w:color w:val="000000"/>
                <w:sz w:val="22"/>
                <w:szCs w:val="22"/>
              </w:rPr>
              <w:t>(</w:t>
            </w:r>
            <w:proofErr w:type="gramStart"/>
            <w:r>
              <w:rPr>
                <w:rFonts w:ascii="Arial" w:hAnsi="Arial" w:cs="Arial"/>
                <w:color w:val="000000"/>
                <w:sz w:val="22"/>
                <w:szCs w:val="22"/>
              </w:rPr>
              <w:t>11.73)%</w:t>
            </w:r>
            <w:proofErr w:type="gramEnd"/>
          </w:p>
        </w:tc>
        <w:tc>
          <w:tcPr>
            <w:tcW w:w="0" w:type="auto"/>
            <w:tcBorders>
              <w:top w:val="single" w:sz="4" w:space="0" w:color="auto"/>
              <w:left w:val="nil"/>
              <w:bottom w:val="single" w:sz="4" w:space="0" w:color="auto"/>
              <w:right w:val="single" w:sz="4" w:space="0" w:color="auto"/>
            </w:tcBorders>
            <w:noWrap/>
            <w:vAlign w:val="bottom"/>
            <w:hideMark/>
          </w:tcPr>
          <w:p w14:paraId="319E1F83" w14:textId="77777777" w:rsidR="00E3289C" w:rsidRDefault="00E3289C" w:rsidP="00E3289C">
            <w:pPr>
              <w:jc w:val="right"/>
              <w:rPr>
                <w:rFonts w:ascii="Arial" w:hAnsi="Arial" w:cs="Arial"/>
                <w:color w:val="000000"/>
                <w:sz w:val="22"/>
                <w:szCs w:val="22"/>
              </w:rPr>
            </w:pPr>
            <w:r>
              <w:rPr>
                <w:rFonts w:ascii="Arial" w:hAnsi="Arial" w:cs="Arial"/>
                <w:color w:val="000000"/>
                <w:sz w:val="22"/>
                <w:szCs w:val="22"/>
              </w:rPr>
              <w:t>(</w:t>
            </w:r>
            <w:proofErr w:type="gramStart"/>
            <w:r>
              <w:rPr>
                <w:rFonts w:ascii="Arial" w:hAnsi="Arial" w:cs="Arial"/>
                <w:color w:val="000000"/>
                <w:sz w:val="22"/>
                <w:szCs w:val="22"/>
              </w:rPr>
              <w:t>20.95)%</w:t>
            </w:r>
            <w:proofErr w:type="gramEnd"/>
          </w:p>
        </w:tc>
        <w:tc>
          <w:tcPr>
            <w:tcW w:w="0" w:type="auto"/>
            <w:tcBorders>
              <w:top w:val="single" w:sz="4" w:space="0" w:color="auto"/>
              <w:left w:val="nil"/>
              <w:bottom w:val="single" w:sz="4" w:space="0" w:color="auto"/>
              <w:right w:val="single" w:sz="4" w:space="0" w:color="auto"/>
            </w:tcBorders>
            <w:noWrap/>
            <w:vAlign w:val="bottom"/>
            <w:hideMark/>
          </w:tcPr>
          <w:p w14:paraId="1A2BBE5B" w14:textId="77777777" w:rsidR="00E3289C" w:rsidRDefault="00E3289C" w:rsidP="00E3289C">
            <w:pPr>
              <w:jc w:val="right"/>
              <w:rPr>
                <w:rFonts w:ascii="Arial" w:hAnsi="Arial" w:cs="Arial"/>
                <w:color w:val="000000"/>
                <w:sz w:val="22"/>
                <w:szCs w:val="22"/>
              </w:rPr>
            </w:pPr>
            <w:r>
              <w:rPr>
                <w:rFonts w:ascii="Arial" w:hAnsi="Arial" w:cs="Arial"/>
                <w:color w:val="000000"/>
                <w:sz w:val="22"/>
                <w:szCs w:val="22"/>
              </w:rPr>
              <w:t>(</w:t>
            </w:r>
            <w:proofErr w:type="gramStart"/>
            <w:r>
              <w:rPr>
                <w:rFonts w:ascii="Arial" w:hAnsi="Arial" w:cs="Arial"/>
                <w:color w:val="000000"/>
                <w:sz w:val="22"/>
                <w:szCs w:val="22"/>
              </w:rPr>
              <w:t>5.53)%</w:t>
            </w:r>
            <w:proofErr w:type="gramEnd"/>
          </w:p>
        </w:tc>
        <w:tc>
          <w:tcPr>
            <w:tcW w:w="0" w:type="auto"/>
            <w:tcBorders>
              <w:top w:val="single" w:sz="4" w:space="0" w:color="auto"/>
              <w:left w:val="nil"/>
              <w:bottom w:val="single" w:sz="4" w:space="0" w:color="auto"/>
              <w:right w:val="single" w:sz="4" w:space="0" w:color="auto"/>
            </w:tcBorders>
            <w:noWrap/>
            <w:vAlign w:val="bottom"/>
            <w:hideMark/>
          </w:tcPr>
          <w:p w14:paraId="1B3273C4" w14:textId="77777777" w:rsidR="00E3289C" w:rsidRDefault="00E3289C" w:rsidP="00E3289C">
            <w:pPr>
              <w:jc w:val="right"/>
              <w:rPr>
                <w:rFonts w:ascii="Arial" w:hAnsi="Arial" w:cs="Arial"/>
                <w:color w:val="000000"/>
                <w:sz w:val="22"/>
                <w:szCs w:val="22"/>
              </w:rPr>
            </w:pPr>
            <w:r>
              <w:rPr>
                <w:rFonts w:ascii="Arial" w:hAnsi="Arial" w:cs="Arial"/>
                <w:color w:val="000000"/>
                <w:sz w:val="22"/>
                <w:szCs w:val="22"/>
              </w:rPr>
              <w:t>(</w:t>
            </w:r>
            <w:proofErr w:type="gramStart"/>
            <w:r>
              <w:rPr>
                <w:rFonts w:ascii="Arial" w:hAnsi="Arial" w:cs="Arial"/>
                <w:color w:val="000000"/>
                <w:sz w:val="22"/>
                <w:szCs w:val="22"/>
              </w:rPr>
              <w:t>6.95)%</w:t>
            </w:r>
            <w:proofErr w:type="gramEnd"/>
          </w:p>
        </w:tc>
        <w:tc>
          <w:tcPr>
            <w:tcW w:w="0" w:type="auto"/>
            <w:tcBorders>
              <w:top w:val="single" w:sz="4" w:space="0" w:color="auto"/>
              <w:left w:val="nil"/>
              <w:bottom w:val="single" w:sz="4" w:space="0" w:color="auto"/>
              <w:right w:val="single" w:sz="4" w:space="0" w:color="auto"/>
            </w:tcBorders>
            <w:noWrap/>
            <w:vAlign w:val="bottom"/>
            <w:hideMark/>
          </w:tcPr>
          <w:p w14:paraId="798FDD59" w14:textId="77777777" w:rsidR="00E3289C" w:rsidRDefault="00E3289C" w:rsidP="00E3289C">
            <w:pPr>
              <w:jc w:val="right"/>
              <w:rPr>
                <w:rFonts w:ascii="Arial" w:hAnsi="Arial" w:cs="Arial"/>
                <w:color w:val="000000"/>
                <w:sz w:val="22"/>
                <w:szCs w:val="22"/>
              </w:rPr>
            </w:pPr>
            <w:r>
              <w:rPr>
                <w:rFonts w:ascii="Arial" w:hAnsi="Arial" w:cs="Arial"/>
                <w:color w:val="000000"/>
                <w:sz w:val="22"/>
                <w:szCs w:val="22"/>
              </w:rPr>
              <w:t>(</w:t>
            </w:r>
            <w:proofErr w:type="gramStart"/>
            <w:r>
              <w:rPr>
                <w:rFonts w:ascii="Arial" w:hAnsi="Arial" w:cs="Arial"/>
                <w:color w:val="000000"/>
                <w:sz w:val="22"/>
                <w:szCs w:val="22"/>
              </w:rPr>
              <w:t>6.96)%</w:t>
            </w:r>
            <w:proofErr w:type="gramEnd"/>
          </w:p>
        </w:tc>
      </w:tr>
    </w:tbl>
    <w:p w14:paraId="65C83135" w14:textId="77777777" w:rsidR="00E3289C" w:rsidRDefault="00E3289C" w:rsidP="00E3289C">
      <w:pPr>
        <w:rPr>
          <w:noProof/>
          <w:lang w:eastAsia="en-GB"/>
        </w:rPr>
      </w:pPr>
    </w:p>
    <w:p w14:paraId="4F29AAB9" w14:textId="5E449411" w:rsidR="00E3289C" w:rsidRPr="00537530" w:rsidRDefault="00E3289C" w:rsidP="0056546A">
      <w:pPr>
        <w:keepNext/>
        <w:widowControl w:val="0"/>
        <w:numPr>
          <w:ilvl w:val="1"/>
          <w:numId w:val="32"/>
        </w:numPr>
        <w:ind w:left="709" w:hanging="709"/>
        <w:rPr>
          <w:rFonts w:ascii="Arial" w:hAnsi="Arial" w:cs="Arial"/>
          <w:b/>
        </w:rPr>
      </w:pPr>
      <w:r w:rsidRPr="00537530">
        <w:rPr>
          <w:rFonts w:ascii="Arial" w:hAnsi="Arial" w:cs="Arial"/>
          <w:b/>
        </w:rPr>
        <w:t>Borrowing Projections</w:t>
      </w:r>
    </w:p>
    <w:p w14:paraId="0C8761B6" w14:textId="77777777" w:rsidR="00E3289C" w:rsidRPr="00537530" w:rsidRDefault="00E3289C" w:rsidP="00E3289C">
      <w:pPr>
        <w:keepNext/>
        <w:widowControl w:val="0"/>
        <w:ind w:left="1276" w:hanging="567"/>
        <w:jc w:val="both"/>
        <w:rPr>
          <w:rFonts w:ascii="Arial" w:hAnsi="Arial" w:cs="Arial"/>
          <w:b/>
        </w:rPr>
      </w:pPr>
    </w:p>
    <w:p w14:paraId="40BC492D" w14:textId="488C8277" w:rsidR="00E3289C" w:rsidRPr="00976AAD" w:rsidRDefault="00E3289C" w:rsidP="00976AAD">
      <w:pPr>
        <w:widowControl w:val="0"/>
        <w:numPr>
          <w:ilvl w:val="2"/>
          <w:numId w:val="32"/>
        </w:numPr>
        <w:ind w:left="709" w:hanging="709"/>
        <w:jc w:val="both"/>
        <w:rPr>
          <w:rFonts w:ascii="Arial" w:hAnsi="Arial" w:cs="Arial"/>
        </w:rPr>
      </w:pPr>
      <w:r w:rsidRPr="00976AAD">
        <w:rPr>
          <w:rFonts w:ascii="Arial" w:hAnsi="Arial" w:cs="Arial"/>
        </w:rPr>
        <w:t xml:space="preserve">The Council’s anticipated Treasury position </w:t>
      </w:r>
      <w:proofErr w:type="gramStart"/>
      <w:r w:rsidRPr="00976AAD">
        <w:rPr>
          <w:rFonts w:ascii="Arial" w:hAnsi="Arial" w:cs="Arial"/>
        </w:rPr>
        <w:t>at</w:t>
      </w:r>
      <w:proofErr w:type="gramEnd"/>
      <w:r w:rsidRPr="00976AAD">
        <w:rPr>
          <w:rFonts w:ascii="Arial" w:hAnsi="Arial" w:cs="Arial"/>
        </w:rPr>
        <w:t xml:space="preserve"> 31 March 202</w:t>
      </w:r>
      <w:r w:rsidR="00CF17B4">
        <w:rPr>
          <w:rFonts w:ascii="Arial" w:hAnsi="Arial" w:cs="Arial"/>
        </w:rPr>
        <w:t xml:space="preserve">5, with forward projections is </w:t>
      </w:r>
      <w:r w:rsidRPr="00976AAD">
        <w:rPr>
          <w:rFonts w:ascii="Arial" w:hAnsi="Arial" w:cs="Arial"/>
        </w:rPr>
        <w:t xml:space="preserve">summarised below. </w:t>
      </w:r>
    </w:p>
    <w:p w14:paraId="125016D2" w14:textId="77777777" w:rsidR="00E3289C" w:rsidRPr="00537530" w:rsidRDefault="00E3289C" w:rsidP="00E3289C">
      <w:pPr>
        <w:widowControl w:val="0"/>
        <w:tabs>
          <w:tab w:val="left" w:pos="-142"/>
        </w:tabs>
        <w:jc w:val="both"/>
        <w:rPr>
          <w:rFonts w:ascii="Arial" w:hAnsi="Arial" w:cs="Arial"/>
          <w:noProof/>
        </w:rPr>
      </w:pPr>
    </w:p>
    <w:p w14:paraId="2588371B" w14:textId="77777777" w:rsidR="00E3289C" w:rsidRDefault="00E3289C" w:rsidP="00CF17B4">
      <w:pPr>
        <w:widowControl w:val="0"/>
        <w:ind w:left="709"/>
        <w:jc w:val="both"/>
        <w:rPr>
          <w:rFonts w:ascii="Arial" w:hAnsi="Arial" w:cs="Arial"/>
          <w:b/>
        </w:rPr>
      </w:pPr>
      <w:r>
        <w:rPr>
          <w:rFonts w:ascii="Arial" w:hAnsi="Arial" w:cs="Arial"/>
          <w:b/>
        </w:rPr>
        <w:t>Table 6</w:t>
      </w:r>
      <w:r w:rsidRPr="009F7241">
        <w:rPr>
          <w:rFonts w:ascii="Arial" w:hAnsi="Arial" w:cs="Arial"/>
          <w:b/>
        </w:rPr>
        <w:t xml:space="preserve"> - Borrowing Projections</w:t>
      </w:r>
    </w:p>
    <w:p w14:paraId="75B6BEDA" w14:textId="77777777" w:rsidR="00E3289C" w:rsidRPr="00537530" w:rsidRDefault="00E3289C" w:rsidP="00E3289C">
      <w:pPr>
        <w:widowControl w:val="0"/>
        <w:ind w:left="709"/>
        <w:jc w:val="both"/>
        <w:rPr>
          <w:rFonts w:ascii="Arial" w:hAnsi="Arial" w:cs="Arial"/>
          <w:noProof/>
        </w:rPr>
      </w:pPr>
    </w:p>
    <w:tbl>
      <w:tblPr>
        <w:tblW w:w="9049" w:type="dxa"/>
        <w:tblInd w:w="-15" w:type="dxa"/>
        <w:tblLayout w:type="fixed"/>
        <w:tblLook w:val="04A0" w:firstRow="1" w:lastRow="0" w:firstColumn="1" w:lastColumn="0" w:noHBand="0" w:noVBand="1"/>
      </w:tblPr>
      <w:tblGrid>
        <w:gridCol w:w="1687"/>
        <w:gridCol w:w="1300"/>
        <w:gridCol w:w="1301"/>
        <w:gridCol w:w="1561"/>
        <w:gridCol w:w="1431"/>
        <w:gridCol w:w="1769"/>
      </w:tblGrid>
      <w:tr w:rsidR="00E3289C" w:rsidRPr="00537530" w14:paraId="6CAD4AFA" w14:textId="77777777" w:rsidTr="00E3289C">
        <w:trPr>
          <w:trHeight w:val="485"/>
        </w:trPr>
        <w:tc>
          <w:tcPr>
            <w:tcW w:w="1687" w:type="dxa"/>
            <w:vMerge w:val="restart"/>
            <w:tcBorders>
              <w:top w:val="single" w:sz="12" w:space="0" w:color="auto"/>
              <w:left w:val="single" w:sz="12" w:space="0" w:color="auto"/>
              <w:right w:val="single" w:sz="8" w:space="0" w:color="auto"/>
            </w:tcBorders>
            <w:shd w:val="clear" w:color="000000" w:fill="B3B3B3"/>
            <w:vAlign w:val="center"/>
            <w:hideMark/>
          </w:tcPr>
          <w:p w14:paraId="7EC4AC4D" w14:textId="77777777" w:rsidR="00E3289C" w:rsidRPr="00537530" w:rsidRDefault="00E3289C" w:rsidP="00E3289C">
            <w:pPr>
              <w:jc w:val="both"/>
              <w:rPr>
                <w:rFonts w:ascii="Arial" w:hAnsi="Arial" w:cs="Arial"/>
                <w:b/>
                <w:bCs/>
                <w:color w:val="000000"/>
                <w:sz w:val="20"/>
                <w:szCs w:val="20"/>
                <w:lang w:eastAsia="en-GB"/>
              </w:rPr>
            </w:pPr>
            <w:r w:rsidRPr="00537530">
              <w:rPr>
                <w:rFonts w:ascii="Arial" w:hAnsi="Arial" w:cs="Arial"/>
                <w:b/>
                <w:bCs/>
                <w:color w:val="000000"/>
                <w:sz w:val="20"/>
                <w:szCs w:val="20"/>
                <w:lang w:val="en-US"/>
              </w:rPr>
              <w:t>£m</w:t>
            </w:r>
          </w:p>
        </w:tc>
        <w:tc>
          <w:tcPr>
            <w:tcW w:w="1300" w:type="dxa"/>
            <w:tcBorders>
              <w:top w:val="single" w:sz="12" w:space="0" w:color="auto"/>
              <w:left w:val="nil"/>
              <w:right w:val="single" w:sz="8" w:space="0" w:color="auto"/>
            </w:tcBorders>
            <w:shd w:val="clear" w:color="000000" w:fill="B3B3B3"/>
            <w:vAlign w:val="center"/>
            <w:hideMark/>
          </w:tcPr>
          <w:p w14:paraId="5A12F098" w14:textId="77777777" w:rsidR="00E3289C" w:rsidRPr="00537530" w:rsidRDefault="00E3289C" w:rsidP="00E3289C">
            <w:pPr>
              <w:jc w:val="center"/>
              <w:rPr>
                <w:rFonts w:ascii="Arial" w:hAnsi="Arial" w:cs="Arial"/>
                <w:b/>
                <w:bCs/>
                <w:color w:val="000000"/>
                <w:sz w:val="20"/>
                <w:szCs w:val="20"/>
              </w:rPr>
            </w:pPr>
            <w:r w:rsidRPr="00537530">
              <w:rPr>
                <w:rFonts w:ascii="Arial" w:hAnsi="Arial" w:cs="Arial"/>
                <w:b/>
                <w:bCs/>
                <w:color w:val="000000"/>
                <w:sz w:val="20"/>
                <w:szCs w:val="20"/>
              </w:rPr>
              <w:t>202</w:t>
            </w:r>
            <w:r>
              <w:rPr>
                <w:rFonts w:ascii="Arial" w:hAnsi="Arial" w:cs="Arial"/>
                <w:b/>
                <w:bCs/>
                <w:color w:val="000000"/>
                <w:sz w:val="20"/>
                <w:szCs w:val="20"/>
              </w:rPr>
              <w:t>4</w:t>
            </w:r>
            <w:r w:rsidRPr="00537530">
              <w:rPr>
                <w:rFonts w:ascii="Arial" w:hAnsi="Arial" w:cs="Arial"/>
                <w:b/>
                <w:bCs/>
                <w:color w:val="000000"/>
                <w:sz w:val="20"/>
                <w:szCs w:val="20"/>
              </w:rPr>
              <w:t>/2</w:t>
            </w:r>
            <w:r>
              <w:rPr>
                <w:rFonts w:ascii="Arial" w:hAnsi="Arial" w:cs="Arial"/>
                <w:b/>
                <w:bCs/>
                <w:color w:val="000000"/>
                <w:sz w:val="20"/>
                <w:szCs w:val="20"/>
              </w:rPr>
              <w:t>5</w:t>
            </w:r>
          </w:p>
        </w:tc>
        <w:tc>
          <w:tcPr>
            <w:tcW w:w="1301" w:type="dxa"/>
            <w:tcBorders>
              <w:top w:val="single" w:sz="12" w:space="0" w:color="auto"/>
              <w:left w:val="single" w:sz="8" w:space="0" w:color="auto"/>
              <w:right w:val="single" w:sz="8" w:space="0" w:color="auto"/>
            </w:tcBorders>
            <w:shd w:val="clear" w:color="000000" w:fill="B3B3B3"/>
            <w:vAlign w:val="center"/>
            <w:hideMark/>
          </w:tcPr>
          <w:p w14:paraId="23A4E358" w14:textId="77777777" w:rsidR="00E3289C" w:rsidRPr="00537530" w:rsidRDefault="00E3289C" w:rsidP="00E3289C">
            <w:pPr>
              <w:jc w:val="center"/>
              <w:rPr>
                <w:rFonts w:ascii="Arial" w:hAnsi="Arial" w:cs="Arial"/>
                <w:b/>
                <w:bCs/>
                <w:color w:val="000000"/>
                <w:sz w:val="20"/>
                <w:szCs w:val="20"/>
              </w:rPr>
            </w:pPr>
            <w:r w:rsidRPr="00537530">
              <w:rPr>
                <w:rFonts w:ascii="Arial" w:hAnsi="Arial" w:cs="Arial"/>
                <w:b/>
                <w:bCs/>
                <w:color w:val="000000"/>
                <w:sz w:val="20"/>
                <w:szCs w:val="20"/>
              </w:rPr>
              <w:t>202</w:t>
            </w:r>
            <w:r>
              <w:rPr>
                <w:rFonts w:ascii="Arial" w:hAnsi="Arial" w:cs="Arial"/>
                <w:b/>
                <w:bCs/>
                <w:color w:val="000000"/>
                <w:sz w:val="20"/>
                <w:szCs w:val="20"/>
              </w:rPr>
              <w:t>5</w:t>
            </w:r>
            <w:r w:rsidRPr="00537530">
              <w:rPr>
                <w:rFonts w:ascii="Arial" w:hAnsi="Arial" w:cs="Arial"/>
                <w:b/>
                <w:bCs/>
                <w:color w:val="000000"/>
                <w:sz w:val="20"/>
                <w:szCs w:val="20"/>
              </w:rPr>
              <w:t>/2</w:t>
            </w:r>
            <w:r>
              <w:rPr>
                <w:rFonts w:ascii="Arial" w:hAnsi="Arial" w:cs="Arial"/>
                <w:b/>
                <w:bCs/>
                <w:color w:val="000000"/>
                <w:sz w:val="20"/>
                <w:szCs w:val="20"/>
              </w:rPr>
              <w:t>6</w:t>
            </w:r>
            <w:r w:rsidRPr="00537530">
              <w:rPr>
                <w:rFonts w:ascii="Arial" w:hAnsi="Arial" w:cs="Arial"/>
                <w:b/>
                <w:bCs/>
                <w:color w:val="000000"/>
                <w:sz w:val="20"/>
                <w:szCs w:val="20"/>
              </w:rPr>
              <w:t xml:space="preserve"> </w:t>
            </w:r>
          </w:p>
        </w:tc>
        <w:tc>
          <w:tcPr>
            <w:tcW w:w="1561" w:type="dxa"/>
            <w:tcBorders>
              <w:top w:val="single" w:sz="12" w:space="0" w:color="auto"/>
              <w:left w:val="nil"/>
              <w:right w:val="single" w:sz="8" w:space="0" w:color="auto"/>
            </w:tcBorders>
            <w:shd w:val="clear" w:color="000000" w:fill="B3B3B3"/>
            <w:vAlign w:val="center"/>
            <w:hideMark/>
          </w:tcPr>
          <w:p w14:paraId="07B25E92" w14:textId="77777777" w:rsidR="00E3289C" w:rsidRPr="00537530" w:rsidRDefault="00E3289C" w:rsidP="00E3289C">
            <w:pPr>
              <w:jc w:val="center"/>
              <w:rPr>
                <w:rFonts w:ascii="Arial" w:hAnsi="Arial" w:cs="Arial"/>
                <w:b/>
                <w:bCs/>
                <w:color w:val="000000"/>
                <w:sz w:val="20"/>
                <w:szCs w:val="20"/>
              </w:rPr>
            </w:pPr>
            <w:r w:rsidRPr="00537530">
              <w:rPr>
                <w:rFonts w:ascii="Arial" w:hAnsi="Arial" w:cs="Arial"/>
                <w:b/>
                <w:bCs/>
                <w:color w:val="000000"/>
                <w:sz w:val="20"/>
                <w:szCs w:val="20"/>
              </w:rPr>
              <w:t>202</w:t>
            </w:r>
            <w:r>
              <w:rPr>
                <w:rFonts w:ascii="Arial" w:hAnsi="Arial" w:cs="Arial"/>
                <w:b/>
                <w:bCs/>
                <w:color w:val="000000"/>
                <w:sz w:val="20"/>
                <w:szCs w:val="20"/>
              </w:rPr>
              <w:t>6</w:t>
            </w:r>
            <w:r w:rsidRPr="00537530">
              <w:rPr>
                <w:rFonts w:ascii="Arial" w:hAnsi="Arial" w:cs="Arial"/>
                <w:b/>
                <w:bCs/>
                <w:color w:val="000000"/>
                <w:sz w:val="20"/>
                <w:szCs w:val="20"/>
              </w:rPr>
              <w:t>/2</w:t>
            </w:r>
            <w:r>
              <w:rPr>
                <w:rFonts w:ascii="Arial" w:hAnsi="Arial" w:cs="Arial"/>
                <w:b/>
                <w:bCs/>
                <w:color w:val="000000"/>
                <w:sz w:val="20"/>
                <w:szCs w:val="20"/>
              </w:rPr>
              <w:t>7</w:t>
            </w:r>
          </w:p>
        </w:tc>
        <w:tc>
          <w:tcPr>
            <w:tcW w:w="1431" w:type="dxa"/>
            <w:tcBorders>
              <w:top w:val="single" w:sz="12" w:space="0" w:color="auto"/>
              <w:left w:val="nil"/>
              <w:right w:val="single" w:sz="8" w:space="0" w:color="auto"/>
            </w:tcBorders>
            <w:shd w:val="clear" w:color="000000" w:fill="B3B3B3"/>
            <w:vAlign w:val="center"/>
            <w:hideMark/>
          </w:tcPr>
          <w:p w14:paraId="60E2B1F9" w14:textId="77777777" w:rsidR="00E3289C" w:rsidRPr="00537530" w:rsidRDefault="00E3289C" w:rsidP="00E3289C">
            <w:pPr>
              <w:jc w:val="center"/>
              <w:rPr>
                <w:rFonts w:ascii="Arial" w:hAnsi="Arial" w:cs="Arial"/>
                <w:b/>
                <w:bCs/>
                <w:color w:val="000000"/>
                <w:sz w:val="20"/>
                <w:szCs w:val="20"/>
              </w:rPr>
            </w:pPr>
            <w:r w:rsidRPr="00537530">
              <w:rPr>
                <w:rFonts w:ascii="Arial" w:hAnsi="Arial" w:cs="Arial"/>
                <w:b/>
                <w:bCs/>
                <w:color w:val="000000"/>
                <w:sz w:val="20"/>
                <w:szCs w:val="20"/>
              </w:rPr>
              <w:t>202</w:t>
            </w:r>
            <w:r>
              <w:rPr>
                <w:rFonts w:ascii="Arial" w:hAnsi="Arial" w:cs="Arial"/>
                <w:b/>
                <w:bCs/>
                <w:color w:val="000000"/>
                <w:sz w:val="20"/>
                <w:szCs w:val="20"/>
              </w:rPr>
              <w:t>7</w:t>
            </w:r>
            <w:r w:rsidRPr="00537530">
              <w:rPr>
                <w:rFonts w:ascii="Arial" w:hAnsi="Arial" w:cs="Arial"/>
                <w:b/>
                <w:bCs/>
                <w:color w:val="000000"/>
                <w:sz w:val="20"/>
                <w:szCs w:val="20"/>
              </w:rPr>
              <w:t>/2</w:t>
            </w:r>
            <w:r>
              <w:rPr>
                <w:rFonts w:ascii="Arial" w:hAnsi="Arial" w:cs="Arial"/>
                <w:b/>
                <w:bCs/>
                <w:color w:val="000000"/>
                <w:sz w:val="20"/>
                <w:szCs w:val="20"/>
              </w:rPr>
              <w:t>8</w:t>
            </w:r>
          </w:p>
        </w:tc>
        <w:tc>
          <w:tcPr>
            <w:tcW w:w="1769" w:type="dxa"/>
            <w:tcBorders>
              <w:top w:val="single" w:sz="12" w:space="0" w:color="auto"/>
              <w:left w:val="nil"/>
              <w:right w:val="single" w:sz="12" w:space="0" w:color="auto"/>
            </w:tcBorders>
            <w:shd w:val="clear" w:color="000000" w:fill="B3B3B3"/>
            <w:vAlign w:val="center"/>
            <w:hideMark/>
          </w:tcPr>
          <w:p w14:paraId="73D27A5E" w14:textId="77777777" w:rsidR="00E3289C" w:rsidRPr="00537530" w:rsidRDefault="00E3289C" w:rsidP="00E3289C">
            <w:pPr>
              <w:jc w:val="center"/>
              <w:rPr>
                <w:rFonts w:ascii="Arial" w:hAnsi="Arial" w:cs="Arial"/>
                <w:b/>
                <w:bCs/>
                <w:color w:val="000000"/>
                <w:sz w:val="20"/>
                <w:szCs w:val="20"/>
              </w:rPr>
            </w:pPr>
            <w:r w:rsidRPr="00537530">
              <w:rPr>
                <w:rFonts w:ascii="Arial" w:hAnsi="Arial" w:cs="Arial"/>
                <w:b/>
                <w:bCs/>
                <w:color w:val="000000"/>
                <w:sz w:val="20"/>
                <w:szCs w:val="20"/>
              </w:rPr>
              <w:t>202</w:t>
            </w:r>
            <w:r>
              <w:rPr>
                <w:rFonts w:ascii="Arial" w:hAnsi="Arial" w:cs="Arial"/>
                <w:b/>
                <w:bCs/>
                <w:color w:val="000000"/>
                <w:sz w:val="20"/>
                <w:szCs w:val="20"/>
              </w:rPr>
              <w:t>8</w:t>
            </w:r>
            <w:r w:rsidRPr="00537530">
              <w:rPr>
                <w:rFonts w:ascii="Arial" w:hAnsi="Arial" w:cs="Arial"/>
                <w:b/>
                <w:bCs/>
                <w:color w:val="000000"/>
                <w:sz w:val="20"/>
                <w:szCs w:val="20"/>
              </w:rPr>
              <w:t>/2</w:t>
            </w:r>
            <w:r>
              <w:rPr>
                <w:rFonts w:ascii="Arial" w:hAnsi="Arial" w:cs="Arial"/>
                <w:b/>
                <w:bCs/>
                <w:color w:val="000000"/>
                <w:sz w:val="20"/>
                <w:szCs w:val="20"/>
              </w:rPr>
              <w:t>9</w:t>
            </w:r>
          </w:p>
        </w:tc>
      </w:tr>
      <w:tr w:rsidR="00E3289C" w:rsidRPr="00537530" w14:paraId="38705C66" w14:textId="77777777" w:rsidTr="00E3289C">
        <w:trPr>
          <w:trHeight w:val="506"/>
        </w:trPr>
        <w:tc>
          <w:tcPr>
            <w:tcW w:w="1687" w:type="dxa"/>
            <w:vMerge/>
            <w:tcBorders>
              <w:left w:val="single" w:sz="12" w:space="0" w:color="auto"/>
              <w:bottom w:val="single" w:sz="8" w:space="0" w:color="auto"/>
              <w:right w:val="single" w:sz="8" w:space="0" w:color="auto"/>
            </w:tcBorders>
            <w:shd w:val="clear" w:color="000000" w:fill="B3B3B3"/>
            <w:vAlign w:val="center"/>
            <w:hideMark/>
          </w:tcPr>
          <w:p w14:paraId="4F224923" w14:textId="77777777" w:rsidR="00E3289C" w:rsidRPr="00537530" w:rsidRDefault="00E3289C" w:rsidP="00E3289C">
            <w:pPr>
              <w:rPr>
                <w:rFonts w:ascii="Arial" w:hAnsi="Arial" w:cs="Arial"/>
                <w:b/>
                <w:bCs/>
                <w:color w:val="000000"/>
                <w:sz w:val="20"/>
                <w:szCs w:val="20"/>
              </w:rPr>
            </w:pPr>
          </w:p>
        </w:tc>
        <w:tc>
          <w:tcPr>
            <w:tcW w:w="1300" w:type="dxa"/>
            <w:tcBorders>
              <w:left w:val="nil"/>
              <w:bottom w:val="single" w:sz="8" w:space="0" w:color="auto"/>
              <w:right w:val="single" w:sz="8" w:space="0" w:color="auto"/>
            </w:tcBorders>
            <w:shd w:val="clear" w:color="000000" w:fill="B3B3B3"/>
            <w:vAlign w:val="center"/>
            <w:hideMark/>
          </w:tcPr>
          <w:p w14:paraId="715CA857" w14:textId="77777777" w:rsidR="00E3289C" w:rsidRPr="00537530" w:rsidRDefault="00E3289C" w:rsidP="00E3289C">
            <w:pPr>
              <w:jc w:val="center"/>
              <w:rPr>
                <w:rFonts w:ascii="Arial" w:hAnsi="Arial" w:cs="Arial"/>
                <w:b/>
                <w:bCs/>
                <w:color w:val="000000"/>
                <w:sz w:val="20"/>
                <w:szCs w:val="20"/>
              </w:rPr>
            </w:pPr>
            <w:r w:rsidRPr="00537530">
              <w:rPr>
                <w:rFonts w:ascii="Arial" w:hAnsi="Arial" w:cs="Arial"/>
                <w:b/>
                <w:bCs/>
                <w:color w:val="000000"/>
                <w:sz w:val="20"/>
                <w:szCs w:val="20"/>
              </w:rPr>
              <w:t xml:space="preserve">Actual </w:t>
            </w:r>
          </w:p>
        </w:tc>
        <w:tc>
          <w:tcPr>
            <w:tcW w:w="1301" w:type="dxa"/>
            <w:tcBorders>
              <w:left w:val="single" w:sz="8" w:space="0" w:color="auto"/>
              <w:bottom w:val="single" w:sz="8" w:space="0" w:color="auto"/>
              <w:right w:val="single" w:sz="8" w:space="0" w:color="auto"/>
            </w:tcBorders>
            <w:shd w:val="clear" w:color="000000" w:fill="B3B3B3"/>
            <w:vAlign w:val="center"/>
            <w:hideMark/>
          </w:tcPr>
          <w:p w14:paraId="0AB30FA3" w14:textId="77777777" w:rsidR="00E3289C" w:rsidRPr="00537530" w:rsidRDefault="00E3289C" w:rsidP="00E3289C">
            <w:pPr>
              <w:rPr>
                <w:rFonts w:ascii="Arial" w:hAnsi="Arial" w:cs="Arial"/>
                <w:b/>
                <w:bCs/>
                <w:color w:val="000000"/>
                <w:sz w:val="20"/>
                <w:szCs w:val="20"/>
              </w:rPr>
            </w:pPr>
            <w:r w:rsidRPr="00537530">
              <w:rPr>
                <w:rFonts w:ascii="Arial" w:hAnsi="Arial" w:cs="Arial"/>
                <w:b/>
                <w:bCs/>
                <w:color w:val="000000"/>
                <w:sz w:val="20"/>
                <w:szCs w:val="20"/>
              </w:rPr>
              <w:t>Forecast</w:t>
            </w:r>
          </w:p>
        </w:tc>
        <w:tc>
          <w:tcPr>
            <w:tcW w:w="1561" w:type="dxa"/>
            <w:tcBorders>
              <w:left w:val="nil"/>
              <w:bottom w:val="single" w:sz="8" w:space="0" w:color="auto"/>
              <w:right w:val="single" w:sz="8" w:space="0" w:color="auto"/>
            </w:tcBorders>
            <w:shd w:val="clear" w:color="000000" w:fill="B3B3B3"/>
            <w:vAlign w:val="center"/>
            <w:hideMark/>
          </w:tcPr>
          <w:p w14:paraId="126BA7C6" w14:textId="77777777" w:rsidR="00E3289C" w:rsidRPr="00537530" w:rsidRDefault="00E3289C" w:rsidP="00E3289C">
            <w:pPr>
              <w:jc w:val="center"/>
              <w:rPr>
                <w:rFonts w:ascii="Arial" w:hAnsi="Arial" w:cs="Arial"/>
                <w:b/>
                <w:bCs/>
                <w:color w:val="000000"/>
                <w:sz w:val="20"/>
                <w:szCs w:val="20"/>
              </w:rPr>
            </w:pPr>
            <w:r w:rsidRPr="00537530">
              <w:rPr>
                <w:rFonts w:ascii="Arial" w:hAnsi="Arial" w:cs="Arial"/>
                <w:b/>
                <w:bCs/>
                <w:color w:val="000000"/>
                <w:sz w:val="20"/>
                <w:szCs w:val="20"/>
              </w:rPr>
              <w:t>Estimate</w:t>
            </w:r>
          </w:p>
        </w:tc>
        <w:tc>
          <w:tcPr>
            <w:tcW w:w="1431" w:type="dxa"/>
            <w:tcBorders>
              <w:left w:val="nil"/>
              <w:bottom w:val="single" w:sz="8" w:space="0" w:color="auto"/>
              <w:right w:val="single" w:sz="8" w:space="0" w:color="auto"/>
            </w:tcBorders>
            <w:shd w:val="clear" w:color="000000" w:fill="B3B3B3"/>
            <w:vAlign w:val="center"/>
            <w:hideMark/>
          </w:tcPr>
          <w:p w14:paraId="47101C50" w14:textId="77777777" w:rsidR="00E3289C" w:rsidRPr="00537530" w:rsidRDefault="00E3289C" w:rsidP="00E3289C">
            <w:pPr>
              <w:jc w:val="center"/>
              <w:rPr>
                <w:rFonts w:ascii="Arial" w:hAnsi="Arial" w:cs="Arial"/>
                <w:b/>
                <w:bCs/>
                <w:color w:val="000000"/>
                <w:sz w:val="20"/>
                <w:szCs w:val="20"/>
              </w:rPr>
            </w:pPr>
            <w:r w:rsidRPr="00537530">
              <w:rPr>
                <w:rFonts w:ascii="Arial" w:hAnsi="Arial" w:cs="Arial"/>
                <w:b/>
                <w:bCs/>
                <w:color w:val="000000"/>
                <w:sz w:val="20"/>
                <w:szCs w:val="20"/>
              </w:rPr>
              <w:t>Estimate</w:t>
            </w:r>
          </w:p>
        </w:tc>
        <w:tc>
          <w:tcPr>
            <w:tcW w:w="1769" w:type="dxa"/>
            <w:tcBorders>
              <w:left w:val="nil"/>
              <w:bottom w:val="single" w:sz="8" w:space="0" w:color="auto"/>
              <w:right w:val="single" w:sz="12" w:space="0" w:color="auto"/>
            </w:tcBorders>
            <w:shd w:val="clear" w:color="000000" w:fill="B3B3B3"/>
            <w:vAlign w:val="center"/>
            <w:hideMark/>
          </w:tcPr>
          <w:p w14:paraId="501B0A8B" w14:textId="77777777" w:rsidR="00E3289C" w:rsidRPr="00537530" w:rsidRDefault="00E3289C" w:rsidP="00E3289C">
            <w:pPr>
              <w:jc w:val="center"/>
              <w:rPr>
                <w:rFonts w:ascii="Arial" w:hAnsi="Arial" w:cs="Arial"/>
                <w:b/>
                <w:bCs/>
                <w:color w:val="000000"/>
                <w:sz w:val="20"/>
                <w:szCs w:val="20"/>
              </w:rPr>
            </w:pPr>
            <w:r w:rsidRPr="00537530">
              <w:rPr>
                <w:rFonts w:ascii="Arial" w:hAnsi="Arial" w:cs="Arial"/>
                <w:b/>
                <w:bCs/>
                <w:color w:val="000000"/>
                <w:sz w:val="20"/>
                <w:szCs w:val="20"/>
              </w:rPr>
              <w:t>Estimate</w:t>
            </w:r>
          </w:p>
        </w:tc>
      </w:tr>
      <w:tr w:rsidR="00E3289C" w:rsidRPr="00537530" w14:paraId="4B84DB4B" w14:textId="77777777" w:rsidTr="00E3289C">
        <w:trPr>
          <w:trHeight w:val="913"/>
        </w:trPr>
        <w:tc>
          <w:tcPr>
            <w:tcW w:w="1687" w:type="dxa"/>
            <w:tcBorders>
              <w:top w:val="single" w:sz="8" w:space="0" w:color="auto"/>
              <w:left w:val="single" w:sz="12" w:space="0" w:color="auto"/>
              <w:bottom w:val="single" w:sz="8" w:space="0" w:color="auto"/>
              <w:right w:val="single" w:sz="8" w:space="0" w:color="auto"/>
            </w:tcBorders>
            <w:vAlign w:val="center"/>
          </w:tcPr>
          <w:p w14:paraId="49959018" w14:textId="77777777" w:rsidR="00E3289C" w:rsidRPr="00537530" w:rsidRDefault="00E3289C" w:rsidP="00E3289C">
            <w:pPr>
              <w:rPr>
                <w:rFonts w:ascii="Arial" w:hAnsi="Arial" w:cs="Arial"/>
                <w:b/>
                <w:bCs/>
                <w:color w:val="000000"/>
                <w:sz w:val="20"/>
                <w:szCs w:val="20"/>
                <w:lang w:val="en-US"/>
              </w:rPr>
            </w:pPr>
            <w:r w:rsidRPr="00537530">
              <w:rPr>
                <w:rFonts w:ascii="Arial" w:hAnsi="Arial" w:cs="Arial"/>
                <w:b/>
                <w:bCs/>
                <w:color w:val="000000"/>
                <w:sz w:val="20"/>
                <w:szCs w:val="20"/>
                <w:lang w:val="en-US"/>
              </w:rPr>
              <w:t xml:space="preserve">Actual gross debt </w:t>
            </w:r>
            <w:proofErr w:type="gramStart"/>
            <w:r w:rsidRPr="00537530">
              <w:rPr>
                <w:rFonts w:ascii="Arial" w:hAnsi="Arial" w:cs="Arial"/>
                <w:b/>
                <w:bCs/>
                <w:color w:val="000000"/>
                <w:sz w:val="20"/>
                <w:szCs w:val="20"/>
                <w:lang w:val="en-US"/>
              </w:rPr>
              <w:t>at</w:t>
            </w:r>
            <w:proofErr w:type="gramEnd"/>
            <w:r w:rsidRPr="00537530">
              <w:rPr>
                <w:rFonts w:ascii="Arial" w:hAnsi="Arial" w:cs="Arial"/>
                <w:b/>
                <w:bCs/>
                <w:color w:val="000000"/>
                <w:sz w:val="20"/>
                <w:szCs w:val="20"/>
                <w:lang w:val="en-US"/>
              </w:rPr>
              <w:t xml:space="preserve"> 31 March</w:t>
            </w:r>
          </w:p>
        </w:tc>
        <w:tc>
          <w:tcPr>
            <w:tcW w:w="1300" w:type="dxa"/>
            <w:tcBorders>
              <w:top w:val="single" w:sz="8" w:space="0" w:color="auto"/>
              <w:left w:val="nil"/>
              <w:bottom w:val="single" w:sz="8" w:space="0" w:color="auto"/>
              <w:right w:val="single" w:sz="8" w:space="0" w:color="auto"/>
            </w:tcBorders>
            <w:vAlign w:val="center"/>
          </w:tcPr>
          <w:p w14:paraId="09C5B6CC" w14:textId="77777777" w:rsidR="00E3289C" w:rsidRPr="00537530" w:rsidRDefault="00E3289C" w:rsidP="00E3289C">
            <w:pPr>
              <w:rPr>
                <w:rFonts w:ascii="Arial" w:hAnsi="Arial" w:cs="Arial"/>
                <w:color w:val="000000"/>
              </w:rPr>
            </w:pPr>
            <w:r w:rsidRPr="00537530">
              <w:rPr>
                <w:rFonts w:ascii="Arial" w:hAnsi="Arial" w:cs="Arial"/>
                <w:color w:val="000000"/>
              </w:rPr>
              <w:t>0</w:t>
            </w:r>
          </w:p>
        </w:tc>
        <w:tc>
          <w:tcPr>
            <w:tcW w:w="1301" w:type="dxa"/>
            <w:tcBorders>
              <w:top w:val="single" w:sz="8" w:space="0" w:color="auto"/>
              <w:left w:val="nil"/>
              <w:bottom w:val="single" w:sz="8" w:space="0" w:color="auto"/>
              <w:right w:val="single" w:sz="8" w:space="0" w:color="auto"/>
            </w:tcBorders>
            <w:vAlign w:val="center"/>
          </w:tcPr>
          <w:p w14:paraId="01026DEE" w14:textId="77777777" w:rsidR="00E3289C" w:rsidRPr="00537530" w:rsidRDefault="00E3289C" w:rsidP="00E3289C">
            <w:pPr>
              <w:rPr>
                <w:rFonts w:ascii="Arial" w:hAnsi="Arial" w:cs="Arial"/>
                <w:color w:val="000000"/>
              </w:rPr>
            </w:pPr>
            <w:r w:rsidRPr="00537530">
              <w:rPr>
                <w:rFonts w:ascii="Arial" w:hAnsi="Arial" w:cs="Arial"/>
                <w:color w:val="000000"/>
              </w:rPr>
              <w:t>0</w:t>
            </w:r>
          </w:p>
        </w:tc>
        <w:tc>
          <w:tcPr>
            <w:tcW w:w="1561" w:type="dxa"/>
            <w:tcBorders>
              <w:top w:val="single" w:sz="8" w:space="0" w:color="auto"/>
              <w:left w:val="nil"/>
              <w:bottom w:val="single" w:sz="8" w:space="0" w:color="auto"/>
              <w:right w:val="single" w:sz="8" w:space="0" w:color="auto"/>
            </w:tcBorders>
            <w:vAlign w:val="center"/>
          </w:tcPr>
          <w:p w14:paraId="553FF151" w14:textId="77777777" w:rsidR="00E3289C" w:rsidRPr="00537530" w:rsidRDefault="00E3289C" w:rsidP="00E3289C">
            <w:pPr>
              <w:rPr>
                <w:rFonts w:ascii="Arial" w:hAnsi="Arial" w:cs="Arial"/>
                <w:color w:val="000000"/>
              </w:rPr>
            </w:pPr>
            <w:r w:rsidRPr="00537530">
              <w:rPr>
                <w:rFonts w:ascii="Arial" w:hAnsi="Arial" w:cs="Arial"/>
                <w:color w:val="000000"/>
              </w:rPr>
              <w:t>0</w:t>
            </w:r>
          </w:p>
        </w:tc>
        <w:tc>
          <w:tcPr>
            <w:tcW w:w="1431" w:type="dxa"/>
            <w:tcBorders>
              <w:top w:val="single" w:sz="8" w:space="0" w:color="auto"/>
              <w:left w:val="nil"/>
              <w:bottom w:val="single" w:sz="8" w:space="0" w:color="auto"/>
              <w:right w:val="single" w:sz="8" w:space="0" w:color="auto"/>
            </w:tcBorders>
            <w:vAlign w:val="center"/>
          </w:tcPr>
          <w:p w14:paraId="11199090" w14:textId="77777777" w:rsidR="00E3289C" w:rsidRPr="00537530" w:rsidRDefault="00E3289C" w:rsidP="00E3289C">
            <w:pPr>
              <w:rPr>
                <w:rFonts w:ascii="Arial" w:hAnsi="Arial" w:cs="Arial"/>
                <w:color w:val="000000"/>
              </w:rPr>
            </w:pPr>
            <w:r w:rsidRPr="00537530">
              <w:rPr>
                <w:rFonts w:ascii="Arial" w:hAnsi="Arial" w:cs="Arial"/>
                <w:color w:val="000000"/>
              </w:rPr>
              <w:t>0</w:t>
            </w:r>
          </w:p>
        </w:tc>
        <w:tc>
          <w:tcPr>
            <w:tcW w:w="1769" w:type="dxa"/>
            <w:tcBorders>
              <w:top w:val="single" w:sz="8" w:space="0" w:color="auto"/>
              <w:left w:val="nil"/>
              <w:bottom w:val="single" w:sz="8" w:space="0" w:color="auto"/>
              <w:right w:val="single" w:sz="12" w:space="0" w:color="auto"/>
            </w:tcBorders>
            <w:vAlign w:val="center"/>
          </w:tcPr>
          <w:p w14:paraId="1CCBA4FA" w14:textId="77777777" w:rsidR="00E3289C" w:rsidRPr="00537530" w:rsidRDefault="00E3289C" w:rsidP="00E3289C">
            <w:pPr>
              <w:rPr>
                <w:rFonts w:ascii="Arial" w:hAnsi="Arial" w:cs="Arial"/>
                <w:color w:val="000000"/>
              </w:rPr>
            </w:pPr>
            <w:r>
              <w:rPr>
                <w:rFonts w:ascii="Arial" w:hAnsi="Arial" w:cs="Arial"/>
                <w:color w:val="000000"/>
              </w:rPr>
              <w:t>0</w:t>
            </w:r>
          </w:p>
        </w:tc>
      </w:tr>
      <w:tr w:rsidR="00E3289C" w:rsidRPr="00537530" w14:paraId="4D3FA6E1" w14:textId="77777777" w:rsidTr="00E3289C">
        <w:trPr>
          <w:trHeight w:val="913"/>
        </w:trPr>
        <w:tc>
          <w:tcPr>
            <w:tcW w:w="1687" w:type="dxa"/>
            <w:tcBorders>
              <w:top w:val="nil"/>
              <w:left w:val="single" w:sz="12" w:space="0" w:color="auto"/>
              <w:bottom w:val="single" w:sz="8" w:space="0" w:color="auto"/>
              <w:right w:val="single" w:sz="8" w:space="0" w:color="auto"/>
            </w:tcBorders>
            <w:vAlign w:val="center"/>
            <w:hideMark/>
          </w:tcPr>
          <w:p w14:paraId="42DDA93B" w14:textId="77777777" w:rsidR="00E3289C" w:rsidRPr="00537530" w:rsidRDefault="00E3289C" w:rsidP="00E3289C">
            <w:pPr>
              <w:rPr>
                <w:rFonts w:ascii="Arial" w:hAnsi="Arial" w:cs="Arial"/>
                <w:b/>
                <w:bCs/>
                <w:color w:val="000000"/>
                <w:sz w:val="20"/>
                <w:szCs w:val="20"/>
              </w:rPr>
            </w:pPr>
            <w:r w:rsidRPr="00537530">
              <w:rPr>
                <w:rFonts w:ascii="Arial" w:hAnsi="Arial" w:cs="Arial"/>
                <w:b/>
                <w:bCs/>
                <w:color w:val="000000"/>
                <w:sz w:val="20"/>
                <w:szCs w:val="20"/>
                <w:lang w:val="en-US"/>
              </w:rPr>
              <w:t>The Capital Financing Requirement</w:t>
            </w:r>
          </w:p>
        </w:tc>
        <w:tc>
          <w:tcPr>
            <w:tcW w:w="1300" w:type="dxa"/>
            <w:tcBorders>
              <w:top w:val="nil"/>
              <w:left w:val="nil"/>
              <w:bottom w:val="single" w:sz="8" w:space="0" w:color="auto"/>
              <w:right w:val="single" w:sz="8" w:space="0" w:color="auto"/>
            </w:tcBorders>
            <w:vAlign w:val="center"/>
            <w:hideMark/>
          </w:tcPr>
          <w:p w14:paraId="4CB2263B" w14:textId="77777777" w:rsidR="00E3289C" w:rsidRPr="00537530" w:rsidRDefault="00E3289C" w:rsidP="00E3289C">
            <w:pPr>
              <w:rPr>
                <w:rFonts w:ascii="Arial" w:hAnsi="Arial" w:cs="Arial"/>
                <w:color w:val="000000"/>
              </w:rPr>
            </w:pPr>
            <w:r>
              <w:rPr>
                <w:rFonts w:ascii="Arial" w:hAnsi="Arial" w:cs="Arial"/>
                <w:color w:val="000000"/>
              </w:rPr>
              <w:t>21,739</w:t>
            </w:r>
          </w:p>
        </w:tc>
        <w:tc>
          <w:tcPr>
            <w:tcW w:w="1301" w:type="dxa"/>
            <w:tcBorders>
              <w:top w:val="nil"/>
              <w:left w:val="nil"/>
              <w:bottom w:val="single" w:sz="8" w:space="0" w:color="auto"/>
              <w:right w:val="single" w:sz="8" w:space="0" w:color="auto"/>
            </w:tcBorders>
            <w:vAlign w:val="center"/>
            <w:hideMark/>
          </w:tcPr>
          <w:p w14:paraId="6971918E" w14:textId="7B072762" w:rsidR="00E3289C" w:rsidRPr="00537530" w:rsidRDefault="002A1768" w:rsidP="00E3289C">
            <w:pPr>
              <w:rPr>
                <w:rFonts w:ascii="Arial" w:hAnsi="Arial" w:cs="Arial"/>
                <w:color w:val="000000"/>
              </w:rPr>
            </w:pPr>
            <w:r>
              <w:rPr>
                <w:rFonts w:ascii="Arial" w:hAnsi="Arial" w:cs="Arial"/>
                <w:color w:val="000000"/>
              </w:rPr>
              <w:t>20,649</w:t>
            </w:r>
          </w:p>
        </w:tc>
        <w:tc>
          <w:tcPr>
            <w:tcW w:w="1561" w:type="dxa"/>
            <w:tcBorders>
              <w:top w:val="nil"/>
              <w:left w:val="nil"/>
              <w:bottom w:val="single" w:sz="8" w:space="0" w:color="auto"/>
              <w:right w:val="single" w:sz="8" w:space="0" w:color="auto"/>
            </w:tcBorders>
            <w:vAlign w:val="center"/>
            <w:hideMark/>
          </w:tcPr>
          <w:p w14:paraId="44E9D28C" w14:textId="13E0A174" w:rsidR="00E3289C" w:rsidRPr="00537530" w:rsidRDefault="002A1768" w:rsidP="00E3289C">
            <w:pPr>
              <w:rPr>
                <w:rFonts w:ascii="Arial" w:hAnsi="Arial" w:cs="Arial"/>
                <w:color w:val="000000"/>
              </w:rPr>
            </w:pPr>
            <w:r>
              <w:rPr>
                <w:rFonts w:ascii="Arial" w:hAnsi="Arial" w:cs="Arial"/>
                <w:color w:val="000000"/>
              </w:rPr>
              <w:t>19,577</w:t>
            </w:r>
          </w:p>
        </w:tc>
        <w:tc>
          <w:tcPr>
            <w:tcW w:w="1431" w:type="dxa"/>
            <w:tcBorders>
              <w:top w:val="nil"/>
              <w:left w:val="nil"/>
              <w:bottom w:val="single" w:sz="8" w:space="0" w:color="auto"/>
              <w:right w:val="single" w:sz="8" w:space="0" w:color="auto"/>
            </w:tcBorders>
            <w:vAlign w:val="center"/>
            <w:hideMark/>
          </w:tcPr>
          <w:p w14:paraId="593F1628" w14:textId="77777777" w:rsidR="00E3289C" w:rsidRPr="00537530" w:rsidRDefault="00E3289C" w:rsidP="00E3289C">
            <w:pPr>
              <w:rPr>
                <w:rFonts w:ascii="Arial" w:hAnsi="Arial" w:cs="Arial"/>
                <w:color w:val="000000"/>
              </w:rPr>
            </w:pPr>
            <w:r>
              <w:rPr>
                <w:rFonts w:ascii="Arial" w:hAnsi="Arial" w:cs="Arial"/>
                <w:color w:val="000000"/>
              </w:rPr>
              <w:t>18,646</w:t>
            </w:r>
          </w:p>
        </w:tc>
        <w:tc>
          <w:tcPr>
            <w:tcW w:w="1769" w:type="dxa"/>
            <w:tcBorders>
              <w:top w:val="nil"/>
              <w:left w:val="nil"/>
              <w:bottom w:val="single" w:sz="8" w:space="0" w:color="auto"/>
              <w:right w:val="single" w:sz="12" w:space="0" w:color="auto"/>
            </w:tcBorders>
            <w:vAlign w:val="center"/>
            <w:hideMark/>
          </w:tcPr>
          <w:p w14:paraId="6441D971" w14:textId="77777777" w:rsidR="00E3289C" w:rsidRPr="00537530" w:rsidRDefault="00E3289C" w:rsidP="00E3289C">
            <w:pPr>
              <w:rPr>
                <w:rFonts w:ascii="Arial" w:hAnsi="Arial" w:cs="Arial"/>
                <w:color w:val="000000"/>
              </w:rPr>
            </w:pPr>
            <w:r>
              <w:rPr>
                <w:rFonts w:ascii="Arial" w:hAnsi="Arial" w:cs="Arial"/>
                <w:color w:val="000000"/>
              </w:rPr>
              <w:t>17,424</w:t>
            </w:r>
          </w:p>
        </w:tc>
      </w:tr>
      <w:tr w:rsidR="00E3289C" w:rsidRPr="00537530" w14:paraId="77404B9F" w14:textId="77777777" w:rsidTr="00E3289C">
        <w:trPr>
          <w:trHeight w:val="527"/>
        </w:trPr>
        <w:tc>
          <w:tcPr>
            <w:tcW w:w="1687" w:type="dxa"/>
            <w:tcBorders>
              <w:top w:val="nil"/>
              <w:left w:val="single" w:sz="12" w:space="0" w:color="auto"/>
              <w:bottom w:val="single" w:sz="12" w:space="0" w:color="auto"/>
              <w:right w:val="single" w:sz="8" w:space="0" w:color="auto"/>
            </w:tcBorders>
            <w:vAlign w:val="center"/>
            <w:hideMark/>
          </w:tcPr>
          <w:p w14:paraId="1DF1F5FC" w14:textId="77777777" w:rsidR="00E3289C" w:rsidRPr="00537530" w:rsidRDefault="00E3289C" w:rsidP="00E3289C">
            <w:pPr>
              <w:jc w:val="both"/>
              <w:rPr>
                <w:rFonts w:ascii="Arial" w:hAnsi="Arial" w:cs="Arial"/>
                <w:b/>
                <w:bCs/>
                <w:color w:val="000000"/>
                <w:sz w:val="20"/>
                <w:szCs w:val="20"/>
              </w:rPr>
            </w:pPr>
            <w:r w:rsidRPr="00537530">
              <w:rPr>
                <w:rFonts w:ascii="Arial" w:hAnsi="Arial" w:cs="Arial"/>
                <w:b/>
                <w:bCs/>
                <w:color w:val="000000"/>
                <w:sz w:val="20"/>
                <w:szCs w:val="20"/>
                <w:lang w:val="en-US"/>
              </w:rPr>
              <w:t>Under/(over) borrowing</w:t>
            </w:r>
          </w:p>
        </w:tc>
        <w:tc>
          <w:tcPr>
            <w:tcW w:w="1300" w:type="dxa"/>
            <w:tcBorders>
              <w:top w:val="nil"/>
              <w:left w:val="nil"/>
              <w:bottom w:val="single" w:sz="12" w:space="0" w:color="auto"/>
              <w:right w:val="single" w:sz="8" w:space="0" w:color="auto"/>
            </w:tcBorders>
            <w:vAlign w:val="center"/>
            <w:hideMark/>
          </w:tcPr>
          <w:p w14:paraId="66767BC4" w14:textId="77777777" w:rsidR="00E3289C" w:rsidRPr="00537530" w:rsidRDefault="00E3289C" w:rsidP="00E3289C">
            <w:pPr>
              <w:rPr>
                <w:rFonts w:ascii="Arial" w:hAnsi="Arial" w:cs="Arial"/>
                <w:color w:val="000000"/>
              </w:rPr>
            </w:pPr>
            <w:r>
              <w:rPr>
                <w:rFonts w:ascii="Arial" w:hAnsi="Arial" w:cs="Arial"/>
                <w:color w:val="000000"/>
              </w:rPr>
              <w:t>21,739</w:t>
            </w:r>
          </w:p>
        </w:tc>
        <w:tc>
          <w:tcPr>
            <w:tcW w:w="1301" w:type="dxa"/>
            <w:tcBorders>
              <w:top w:val="nil"/>
              <w:left w:val="nil"/>
              <w:bottom w:val="single" w:sz="12" w:space="0" w:color="auto"/>
              <w:right w:val="single" w:sz="8" w:space="0" w:color="auto"/>
            </w:tcBorders>
            <w:vAlign w:val="center"/>
            <w:hideMark/>
          </w:tcPr>
          <w:p w14:paraId="6A770962" w14:textId="086294C1" w:rsidR="00E3289C" w:rsidRPr="00537530" w:rsidRDefault="002A1768" w:rsidP="00E3289C">
            <w:pPr>
              <w:rPr>
                <w:rFonts w:ascii="Arial" w:hAnsi="Arial" w:cs="Arial"/>
                <w:color w:val="000000"/>
              </w:rPr>
            </w:pPr>
            <w:r>
              <w:rPr>
                <w:rFonts w:ascii="Arial" w:hAnsi="Arial" w:cs="Arial"/>
                <w:color w:val="000000"/>
              </w:rPr>
              <w:t>20,649</w:t>
            </w:r>
          </w:p>
        </w:tc>
        <w:tc>
          <w:tcPr>
            <w:tcW w:w="1561" w:type="dxa"/>
            <w:tcBorders>
              <w:top w:val="nil"/>
              <w:left w:val="nil"/>
              <w:bottom w:val="single" w:sz="12" w:space="0" w:color="auto"/>
              <w:right w:val="single" w:sz="8" w:space="0" w:color="auto"/>
            </w:tcBorders>
            <w:vAlign w:val="center"/>
            <w:hideMark/>
          </w:tcPr>
          <w:p w14:paraId="73AFE61D" w14:textId="102CF9CB" w:rsidR="00E3289C" w:rsidRPr="00537530" w:rsidRDefault="002A1768" w:rsidP="00E3289C">
            <w:pPr>
              <w:rPr>
                <w:rFonts w:ascii="Arial" w:hAnsi="Arial" w:cs="Arial"/>
                <w:color w:val="000000"/>
              </w:rPr>
            </w:pPr>
            <w:r>
              <w:rPr>
                <w:rFonts w:ascii="Arial" w:hAnsi="Arial" w:cs="Arial"/>
                <w:color w:val="000000"/>
              </w:rPr>
              <w:t>19,577</w:t>
            </w:r>
          </w:p>
        </w:tc>
        <w:tc>
          <w:tcPr>
            <w:tcW w:w="1431" w:type="dxa"/>
            <w:tcBorders>
              <w:top w:val="nil"/>
              <w:left w:val="nil"/>
              <w:bottom w:val="single" w:sz="12" w:space="0" w:color="auto"/>
              <w:right w:val="single" w:sz="8" w:space="0" w:color="auto"/>
            </w:tcBorders>
            <w:vAlign w:val="center"/>
            <w:hideMark/>
          </w:tcPr>
          <w:p w14:paraId="3E1BEDDB" w14:textId="77777777" w:rsidR="00E3289C" w:rsidRPr="00537530" w:rsidRDefault="00E3289C" w:rsidP="00E3289C">
            <w:pPr>
              <w:rPr>
                <w:rFonts w:ascii="Arial" w:hAnsi="Arial" w:cs="Arial"/>
                <w:color w:val="000000"/>
              </w:rPr>
            </w:pPr>
            <w:r>
              <w:rPr>
                <w:rFonts w:ascii="Arial" w:hAnsi="Arial" w:cs="Arial"/>
                <w:color w:val="000000"/>
              </w:rPr>
              <w:t xml:space="preserve"> 18,646</w:t>
            </w:r>
          </w:p>
        </w:tc>
        <w:tc>
          <w:tcPr>
            <w:tcW w:w="1769" w:type="dxa"/>
            <w:tcBorders>
              <w:top w:val="nil"/>
              <w:left w:val="nil"/>
              <w:bottom w:val="single" w:sz="12" w:space="0" w:color="auto"/>
              <w:right w:val="single" w:sz="12" w:space="0" w:color="auto"/>
            </w:tcBorders>
            <w:vAlign w:val="center"/>
            <w:hideMark/>
          </w:tcPr>
          <w:p w14:paraId="5080C632" w14:textId="77777777" w:rsidR="00E3289C" w:rsidRPr="00537530" w:rsidRDefault="00E3289C" w:rsidP="00E3289C">
            <w:pPr>
              <w:rPr>
                <w:rFonts w:ascii="Arial" w:hAnsi="Arial" w:cs="Arial"/>
                <w:color w:val="000000"/>
              </w:rPr>
            </w:pPr>
            <w:r>
              <w:rPr>
                <w:rFonts w:ascii="Arial" w:hAnsi="Arial" w:cs="Arial"/>
                <w:color w:val="000000"/>
              </w:rPr>
              <w:t>17,424</w:t>
            </w:r>
          </w:p>
        </w:tc>
      </w:tr>
    </w:tbl>
    <w:p w14:paraId="78A1FC55" w14:textId="77777777" w:rsidR="00E3289C" w:rsidRPr="00537530" w:rsidRDefault="00E3289C" w:rsidP="00E3289C">
      <w:pPr>
        <w:pStyle w:val="BodyText"/>
        <w:widowControl w:val="0"/>
        <w:spacing w:after="120"/>
        <w:ind w:left="360"/>
        <w:rPr>
          <w:sz w:val="22"/>
          <w:szCs w:val="22"/>
        </w:rPr>
      </w:pPr>
    </w:p>
    <w:p w14:paraId="795A4688" w14:textId="77777777" w:rsidR="00E3289C" w:rsidRPr="00976AAD" w:rsidRDefault="00E3289C" w:rsidP="0056546A">
      <w:pPr>
        <w:widowControl w:val="0"/>
        <w:numPr>
          <w:ilvl w:val="2"/>
          <w:numId w:val="32"/>
        </w:numPr>
        <w:ind w:left="709" w:hanging="709"/>
        <w:jc w:val="both"/>
        <w:rPr>
          <w:rFonts w:ascii="Arial" w:hAnsi="Arial" w:cs="Arial"/>
        </w:rPr>
      </w:pPr>
      <w:r w:rsidRPr="00537530">
        <w:rPr>
          <w:rFonts w:ascii="Arial" w:hAnsi="Arial" w:cs="Arial"/>
        </w:rPr>
        <w:t>As detailed in 6.4 the CFR figures have been adjusted to include the adjustment</w:t>
      </w:r>
      <w:r w:rsidRPr="00976AAD">
        <w:rPr>
          <w:rFonts w:ascii="Arial" w:hAnsi="Arial" w:cs="Arial"/>
        </w:rPr>
        <w:t xml:space="preserve"> A figure. </w:t>
      </w:r>
    </w:p>
    <w:p w14:paraId="1750C0C7" w14:textId="77777777" w:rsidR="00E3289C" w:rsidRPr="00976AAD" w:rsidRDefault="00E3289C" w:rsidP="00976AAD">
      <w:pPr>
        <w:widowControl w:val="0"/>
        <w:ind w:left="709"/>
        <w:jc w:val="both"/>
        <w:rPr>
          <w:rFonts w:ascii="Arial" w:hAnsi="Arial" w:cs="Arial"/>
        </w:rPr>
      </w:pPr>
    </w:p>
    <w:p w14:paraId="10003F07" w14:textId="77777777" w:rsidR="00E3289C" w:rsidRPr="002F2F50" w:rsidRDefault="00E3289C" w:rsidP="0056546A">
      <w:pPr>
        <w:widowControl w:val="0"/>
        <w:numPr>
          <w:ilvl w:val="2"/>
          <w:numId w:val="32"/>
        </w:numPr>
        <w:ind w:left="709" w:hanging="709"/>
        <w:jc w:val="both"/>
        <w:rPr>
          <w:rFonts w:ascii="Arial" w:hAnsi="Arial" w:cs="Arial"/>
        </w:rPr>
      </w:pPr>
      <w:r w:rsidRPr="002F2F50">
        <w:rPr>
          <w:rFonts w:ascii="Arial" w:hAnsi="Arial" w:cs="Arial"/>
        </w:rPr>
        <w:t xml:space="preserve">The Council needs to ensure that its gross debt does not, except in the short term, exceed the total of the CFR in the preceding year plus the estimates of any additional CFR for the forthcoming financial year and the following two financial years.  </w:t>
      </w:r>
    </w:p>
    <w:p w14:paraId="747EB3E0" w14:textId="77777777" w:rsidR="00E3289C" w:rsidRPr="00976AAD" w:rsidRDefault="00E3289C" w:rsidP="004607AA">
      <w:pPr>
        <w:widowControl w:val="0"/>
        <w:ind w:left="709"/>
        <w:jc w:val="both"/>
        <w:rPr>
          <w:rFonts w:ascii="Arial" w:hAnsi="Arial" w:cs="Arial"/>
        </w:rPr>
      </w:pPr>
    </w:p>
    <w:p w14:paraId="3BC78B64" w14:textId="47F33BC6" w:rsidR="00E3289C" w:rsidRPr="00446F8E" w:rsidRDefault="00E3289C" w:rsidP="0056546A">
      <w:pPr>
        <w:widowControl w:val="0"/>
        <w:numPr>
          <w:ilvl w:val="2"/>
          <w:numId w:val="32"/>
        </w:numPr>
        <w:ind w:left="709" w:hanging="709"/>
        <w:jc w:val="both"/>
        <w:rPr>
          <w:rFonts w:ascii="Arial" w:hAnsi="Arial" w:cs="Arial"/>
        </w:rPr>
      </w:pPr>
      <w:r w:rsidRPr="002F2F50">
        <w:rPr>
          <w:rFonts w:ascii="Arial" w:hAnsi="Arial" w:cs="Arial"/>
        </w:rPr>
        <w:t xml:space="preserve">The </w:t>
      </w:r>
      <w:r w:rsidR="00CF17B4">
        <w:rPr>
          <w:rFonts w:ascii="Arial" w:hAnsi="Arial" w:cs="Arial"/>
        </w:rPr>
        <w:t>Assistant Director for</w:t>
      </w:r>
      <w:r>
        <w:rPr>
          <w:rFonts w:ascii="Arial" w:hAnsi="Arial" w:cs="Arial"/>
        </w:rPr>
        <w:t xml:space="preserve"> Finance (S151 Officer)</w:t>
      </w:r>
      <w:r w:rsidRPr="002F2F50">
        <w:rPr>
          <w:rFonts w:ascii="Arial" w:hAnsi="Arial" w:cs="Arial"/>
        </w:rPr>
        <w:t xml:space="preserve"> can report that the Council complied with this prudential indicator in the current year and does not envisage difficulties for </w:t>
      </w:r>
      <w:r w:rsidRPr="00446F8E">
        <w:rPr>
          <w:rFonts w:ascii="Arial" w:hAnsi="Arial" w:cs="Arial"/>
        </w:rPr>
        <w:t xml:space="preserve">the future. This view </w:t>
      </w:r>
      <w:proofErr w:type="gramStart"/>
      <w:r w:rsidRPr="00446F8E">
        <w:rPr>
          <w:rFonts w:ascii="Arial" w:hAnsi="Arial" w:cs="Arial"/>
        </w:rPr>
        <w:t>takes into account</w:t>
      </w:r>
      <w:proofErr w:type="gramEnd"/>
      <w:r w:rsidRPr="00446F8E">
        <w:rPr>
          <w:rFonts w:ascii="Arial" w:hAnsi="Arial" w:cs="Arial"/>
        </w:rPr>
        <w:t xml:space="preserve"> current commitments, existing plans, and the proposals in </w:t>
      </w:r>
      <w:r w:rsidRPr="007375F9">
        <w:rPr>
          <w:rFonts w:ascii="Arial" w:hAnsi="Arial" w:cs="Arial"/>
        </w:rPr>
        <w:t xml:space="preserve">the capital budget </w:t>
      </w:r>
      <w:r w:rsidRPr="000D49E4">
        <w:rPr>
          <w:rFonts w:ascii="Arial" w:hAnsi="Arial" w:cs="Arial"/>
        </w:rPr>
        <w:t xml:space="preserve">report </w:t>
      </w:r>
      <w:r w:rsidRPr="008831C3">
        <w:rPr>
          <w:rFonts w:ascii="Arial" w:hAnsi="Arial" w:cs="Arial"/>
        </w:rPr>
        <w:t>CAB/26/79</w:t>
      </w:r>
      <w:r w:rsidRPr="00446F8E">
        <w:rPr>
          <w:rFonts w:ascii="Arial" w:hAnsi="Arial" w:cs="Arial"/>
        </w:rPr>
        <w:t>.</w:t>
      </w:r>
    </w:p>
    <w:p w14:paraId="713B4E45" w14:textId="77777777" w:rsidR="00E3289C" w:rsidRPr="002F2F50" w:rsidRDefault="00E3289C" w:rsidP="00E3289C">
      <w:pPr>
        <w:widowControl w:val="0"/>
        <w:tabs>
          <w:tab w:val="left" w:pos="-142"/>
        </w:tabs>
        <w:jc w:val="both"/>
        <w:rPr>
          <w:rFonts w:ascii="Arial" w:hAnsi="Arial" w:cs="Arial"/>
          <w:bCs/>
          <w:noProof/>
        </w:rPr>
      </w:pPr>
    </w:p>
    <w:p w14:paraId="0B36B032" w14:textId="77777777" w:rsidR="00E3289C" w:rsidRPr="002F2F50" w:rsidRDefault="00E3289C" w:rsidP="0056546A">
      <w:pPr>
        <w:widowControl w:val="0"/>
        <w:numPr>
          <w:ilvl w:val="1"/>
          <w:numId w:val="32"/>
        </w:numPr>
        <w:ind w:left="709" w:hanging="709"/>
        <w:rPr>
          <w:rFonts w:ascii="Arial" w:hAnsi="Arial" w:cs="Arial"/>
          <w:b/>
        </w:rPr>
      </w:pPr>
      <w:bookmarkStart w:id="5" w:name="_Toc339459877"/>
      <w:bookmarkStart w:id="6" w:name="_Toc339459879"/>
      <w:r w:rsidRPr="002F2F50">
        <w:rPr>
          <w:rFonts w:ascii="Arial" w:hAnsi="Arial" w:cs="Arial"/>
          <w:b/>
        </w:rPr>
        <w:t xml:space="preserve">Treasury indicators: Limits to borrowing activity </w:t>
      </w:r>
      <w:bookmarkEnd w:id="5"/>
    </w:p>
    <w:p w14:paraId="4C121CD8" w14:textId="77777777" w:rsidR="00E3289C" w:rsidRPr="002F2F50" w:rsidRDefault="00E3289C" w:rsidP="00E3289C">
      <w:pPr>
        <w:widowControl w:val="0"/>
        <w:tabs>
          <w:tab w:val="left" w:pos="0"/>
        </w:tabs>
        <w:ind w:left="792"/>
        <w:rPr>
          <w:rFonts w:ascii="Arial" w:hAnsi="Arial" w:cs="Arial"/>
          <w:b/>
        </w:rPr>
      </w:pPr>
    </w:p>
    <w:p w14:paraId="6DE96A86" w14:textId="77777777" w:rsidR="00E3289C" w:rsidRPr="002F2F50" w:rsidRDefault="00E3289C" w:rsidP="0056546A">
      <w:pPr>
        <w:widowControl w:val="0"/>
        <w:numPr>
          <w:ilvl w:val="2"/>
          <w:numId w:val="32"/>
        </w:numPr>
        <w:ind w:left="709" w:hanging="709"/>
        <w:jc w:val="both"/>
        <w:rPr>
          <w:rFonts w:ascii="Arial" w:hAnsi="Arial" w:cs="Arial"/>
        </w:rPr>
      </w:pPr>
      <w:r w:rsidRPr="002F2F50">
        <w:rPr>
          <w:rFonts w:ascii="Arial" w:hAnsi="Arial" w:cs="Arial"/>
          <w:b/>
        </w:rPr>
        <w:t>The operational boundary</w:t>
      </w:r>
      <w:r w:rsidRPr="002F2F50">
        <w:rPr>
          <w:rFonts w:ascii="Arial" w:hAnsi="Arial" w:cs="Arial"/>
        </w:rPr>
        <w:t xml:space="preserve">. This is the limit beyond which external debt is not normally expected to exceed. In most cases, this would be a similar figure to the </w:t>
      </w:r>
      <w:proofErr w:type="gramStart"/>
      <w:r w:rsidRPr="002F2F50">
        <w:rPr>
          <w:rFonts w:ascii="Arial" w:hAnsi="Arial" w:cs="Arial"/>
        </w:rPr>
        <w:t>CFR, but</w:t>
      </w:r>
      <w:proofErr w:type="gramEnd"/>
      <w:r w:rsidRPr="002F2F50">
        <w:rPr>
          <w:rFonts w:ascii="Arial" w:hAnsi="Arial" w:cs="Arial"/>
        </w:rPr>
        <w:t xml:space="preserve"> may be lower or higher depending on the levels of actual debt and schemes which are being considered. </w:t>
      </w:r>
    </w:p>
    <w:p w14:paraId="2EA891A3" w14:textId="77777777" w:rsidR="00E3289C" w:rsidRPr="002F2F50" w:rsidRDefault="00E3289C" w:rsidP="00E3289C">
      <w:pPr>
        <w:widowControl w:val="0"/>
        <w:ind w:left="646"/>
        <w:jc w:val="both"/>
        <w:rPr>
          <w:rFonts w:ascii="Arial" w:hAnsi="Arial" w:cs="Arial"/>
          <w:bCs/>
          <w:noProof/>
        </w:rPr>
      </w:pPr>
    </w:p>
    <w:p w14:paraId="13E7F6E7" w14:textId="77777777" w:rsidR="00E3289C" w:rsidRPr="002F2F50" w:rsidRDefault="00E3289C" w:rsidP="0056546A">
      <w:pPr>
        <w:widowControl w:val="0"/>
        <w:numPr>
          <w:ilvl w:val="2"/>
          <w:numId w:val="32"/>
        </w:numPr>
        <w:ind w:left="709" w:hanging="709"/>
        <w:jc w:val="both"/>
        <w:rPr>
          <w:rFonts w:ascii="Arial" w:hAnsi="Arial" w:cs="Arial"/>
        </w:rPr>
      </w:pPr>
      <w:r w:rsidRPr="002F2F50">
        <w:rPr>
          <w:rFonts w:ascii="Arial" w:hAnsi="Arial" w:cs="Arial"/>
          <w:b/>
        </w:rPr>
        <w:t>The authorised limit for external debt</w:t>
      </w:r>
      <w:r w:rsidRPr="002F2F50">
        <w:rPr>
          <w:rFonts w:ascii="Arial" w:hAnsi="Arial" w:cs="Arial"/>
        </w:rPr>
        <w:t xml:space="preserve">. A further key prudential indicator represents a control on the maximum level of borrowing. This represents a limit </w:t>
      </w:r>
      <w:r w:rsidRPr="002F2F50">
        <w:rPr>
          <w:rFonts w:ascii="Arial" w:hAnsi="Arial" w:cs="Arial"/>
        </w:rPr>
        <w:lastRenderedPageBreak/>
        <w:t xml:space="preserve">beyond which external debt is prohibited, and this limit needs to be set or revised by the full Council.  It reflects the level of external debt which, while not desired, could be afforded in the short term, but is not sustainable in the longer term.  </w:t>
      </w:r>
    </w:p>
    <w:p w14:paraId="44F7C9D8" w14:textId="77777777" w:rsidR="00E3289C" w:rsidRPr="002F2F50" w:rsidRDefault="00E3289C" w:rsidP="00E3289C">
      <w:pPr>
        <w:pStyle w:val="ListParagraph"/>
        <w:rPr>
          <w:rFonts w:ascii="Arial" w:hAnsi="Arial" w:cs="Arial"/>
        </w:rPr>
      </w:pPr>
    </w:p>
    <w:p w14:paraId="710739B5" w14:textId="77777777" w:rsidR="00E3289C" w:rsidRPr="002F2F50" w:rsidRDefault="00E3289C" w:rsidP="0056546A">
      <w:pPr>
        <w:widowControl w:val="0"/>
        <w:numPr>
          <w:ilvl w:val="2"/>
          <w:numId w:val="32"/>
        </w:numPr>
        <w:ind w:left="709" w:hanging="709"/>
        <w:jc w:val="both"/>
        <w:rPr>
          <w:rFonts w:ascii="Arial" w:hAnsi="Arial" w:cs="Arial"/>
        </w:rPr>
      </w:pPr>
      <w:r w:rsidRPr="002F2F50">
        <w:rPr>
          <w:rFonts w:ascii="Arial" w:hAnsi="Arial" w:cs="Arial"/>
        </w:rPr>
        <w:t>This is the statutory limit determined under section 3 (1) of the Local Government Act 2003. The Government retains an option to control either the total of all councils’ plans, or those of a specific council, although this power has not yet been exercised.</w:t>
      </w:r>
    </w:p>
    <w:p w14:paraId="3D3DD794" w14:textId="77777777" w:rsidR="00E3289C" w:rsidRPr="002F2F50" w:rsidRDefault="00E3289C" w:rsidP="00E3289C">
      <w:pPr>
        <w:pStyle w:val="ListParagraph"/>
        <w:rPr>
          <w:bCs/>
          <w:noProof/>
        </w:rPr>
      </w:pPr>
    </w:p>
    <w:p w14:paraId="0884284E" w14:textId="77777777" w:rsidR="00E3289C" w:rsidRPr="00187BBA" w:rsidRDefault="00E3289C" w:rsidP="0056546A">
      <w:pPr>
        <w:widowControl w:val="0"/>
        <w:numPr>
          <w:ilvl w:val="2"/>
          <w:numId w:val="32"/>
        </w:numPr>
        <w:ind w:left="709" w:hanging="709"/>
        <w:jc w:val="both"/>
        <w:rPr>
          <w:rFonts w:ascii="Arial" w:hAnsi="Arial" w:cs="Arial"/>
        </w:rPr>
      </w:pPr>
      <w:r w:rsidRPr="00187BBA">
        <w:rPr>
          <w:rFonts w:ascii="Arial" w:hAnsi="Arial" w:cs="Arial"/>
        </w:rPr>
        <w:t>The Council is asked to approve the following authorised limits:</w:t>
      </w:r>
    </w:p>
    <w:p w14:paraId="510ADC27" w14:textId="77777777" w:rsidR="00E3289C" w:rsidRDefault="00E3289C" w:rsidP="00E3289C">
      <w:pPr>
        <w:widowControl w:val="0"/>
        <w:jc w:val="both"/>
        <w:rPr>
          <w:rFonts w:ascii="Arial" w:hAnsi="Arial" w:cs="Arial"/>
        </w:rPr>
      </w:pPr>
    </w:p>
    <w:p w14:paraId="28AC9744" w14:textId="77777777" w:rsidR="00E3289C" w:rsidRDefault="00E3289C" w:rsidP="0026558B">
      <w:pPr>
        <w:widowControl w:val="0"/>
        <w:ind w:left="709"/>
        <w:rPr>
          <w:rFonts w:ascii="Arial" w:hAnsi="Arial" w:cs="Arial"/>
        </w:rPr>
      </w:pPr>
      <w:r>
        <w:rPr>
          <w:rFonts w:ascii="Arial" w:hAnsi="Arial" w:cs="Arial"/>
          <w:b/>
        </w:rPr>
        <w:t>Table 7</w:t>
      </w:r>
      <w:r w:rsidRPr="00187BBA">
        <w:rPr>
          <w:rFonts w:ascii="Arial" w:hAnsi="Arial" w:cs="Arial"/>
          <w:b/>
        </w:rPr>
        <w:t>: External Debt Limit</w:t>
      </w:r>
    </w:p>
    <w:p w14:paraId="0033D00B" w14:textId="77777777" w:rsidR="00E3289C" w:rsidRPr="00187BBA" w:rsidRDefault="00E3289C" w:rsidP="0026558B">
      <w:pPr>
        <w:widowControl w:val="0"/>
        <w:ind w:left="709"/>
        <w:jc w:val="both"/>
        <w:rPr>
          <w:rFonts w:ascii="Arial" w:hAnsi="Arial" w:cs="Arial"/>
        </w:rPr>
      </w:pPr>
    </w:p>
    <w:tbl>
      <w:tblPr>
        <w:tblW w:w="8363" w:type="dxa"/>
        <w:tblInd w:w="6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1134"/>
        <w:gridCol w:w="1134"/>
        <w:gridCol w:w="1134"/>
        <w:gridCol w:w="1134"/>
      </w:tblGrid>
      <w:tr w:rsidR="00E3289C" w:rsidRPr="00187BBA" w14:paraId="35884A66" w14:textId="77777777" w:rsidTr="0026558B">
        <w:trPr>
          <w:trHeight w:val="446"/>
        </w:trPr>
        <w:tc>
          <w:tcPr>
            <w:tcW w:w="3827" w:type="dxa"/>
            <w:shd w:val="clear" w:color="auto" w:fill="B3B3B3"/>
          </w:tcPr>
          <w:p w14:paraId="5EC0DC48" w14:textId="77777777" w:rsidR="00E3289C" w:rsidRPr="00187BBA" w:rsidRDefault="00E3289C" w:rsidP="00E3289C">
            <w:pPr>
              <w:widowControl w:val="0"/>
              <w:jc w:val="both"/>
              <w:rPr>
                <w:rFonts w:ascii="Arial" w:hAnsi="Arial" w:cs="Arial"/>
                <w:b/>
              </w:rPr>
            </w:pPr>
          </w:p>
        </w:tc>
        <w:tc>
          <w:tcPr>
            <w:tcW w:w="1134" w:type="dxa"/>
            <w:shd w:val="clear" w:color="auto" w:fill="B3B3B3"/>
          </w:tcPr>
          <w:p w14:paraId="27CFAF65" w14:textId="77777777" w:rsidR="00E3289C" w:rsidRPr="00187BBA" w:rsidRDefault="00E3289C" w:rsidP="00E3289C">
            <w:pPr>
              <w:pStyle w:val="BodyText"/>
              <w:widowControl w:val="0"/>
              <w:jc w:val="center"/>
              <w:rPr>
                <w:b/>
                <w:bCs/>
                <w:szCs w:val="24"/>
                <w:lang w:val="en-GB"/>
              </w:rPr>
            </w:pPr>
            <w:r w:rsidRPr="00187BBA">
              <w:rPr>
                <w:b/>
                <w:bCs/>
                <w:szCs w:val="24"/>
                <w:lang w:val="en-GB"/>
              </w:rPr>
              <w:t>202</w:t>
            </w:r>
            <w:r>
              <w:rPr>
                <w:b/>
                <w:bCs/>
                <w:szCs w:val="24"/>
                <w:lang w:val="en-GB"/>
              </w:rPr>
              <w:t>5</w:t>
            </w:r>
            <w:r w:rsidRPr="00187BBA">
              <w:rPr>
                <w:b/>
                <w:bCs/>
                <w:szCs w:val="24"/>
                <w:lang w:val="en-GB"/>
              </w:rPr>
              <w:t>/2</w:t>
            </w:r>
            <w:r>
              <w:rPr>
                <w:b/>
                <w:bCs/>
                <w:szCs w:val="24"/>
                <w:lang w:val="en-GB"/>
              </w:rPr>
              <w:t>6</w:t>
            </w:r>
          </w:p>
          <w:p w14:paraId="65887381" w14:textId="77777777" w:rsidR="00E3289C" w:rsidRPr="00187BBA" w:rsidRDefault="00E3289C" w:rsidP="00E3289C">
            <w:pPr>
              <w:pStyle w:val="BodyText"/>
              <w:widowControl w:val="0"/>
              <w:jc w:val="center"/>
              <w:rPr>
                <w:b/>
                <w:bCs/>
                <w:szCs w:val="24"/>
              </w:rPr>
            </w:pPr>
            <w:r w:rsidRPr="00187BBA">
              <w:rPr>
                <w:b/>
                <w:bCs/>
                <w:szCs w:val="24"/>
              </w:rPr>
              <w:t>£m</w:t>
            </w:r>
          </w:p>
        </w:tc>
        <w:tc>
          <w:tcPr>
            <w:tcW w:w="1134" w:type="dxa"/>
            <w:shd w:val="clear" w:color="auto" w:fill="B3B3B3"/>
          </w:tcPr>
          <w:p w14:paraId="3EC41672" w14:textId="77777777" w:rsidR="00E3289C" w:rsidRPr="00187BBA" w:rsidRDefault="00E3289C" w:rsidP="00E3289C">
            <w:pPr>
              <w:pStyle w:val="BodyText"/>
              <w:widowControl w:val="0"/>
              <w:jc w:val="center"/>
              <w:rPr>
                <w:b/>
                <w:bCs/>
                <w:szCs w:val="24"/>
              </w:rPr>
            </w:pPr>
            <w:r w:rsidRPr="00187BBA">
              <w:rPr>
                <w:b/>
                <w:bCs/>
                <w:szCs w:val="24"/>
              </w:rPr>
              <w:t>202</w:t>
            </w:r>
            <w:r>
              <w:rPr>
                <w:b/>
                <w:bCs/>
                <w:szCs w:val="24"/>
              </w:rPr>
              <w:t>6</w:t>
            </w:r>
            <w:r w:rsidRPr="00187BBA">
              <w:rPr>
                <w:b/>
                <w:bCs/>
                <w:szCs w:val="24"/>
              </w:rPr>
              <w:t>/2</w:t>
            </w:r>
            <w:r>
              <w:rPr>
                <w:b/>
                <w:bCs/>
                <w:szCs w:val="24"/>
              </w:rPr>
              <w:t>7</w:t>
            </w:r>
          </w:p>
          <w:p w14:paraId="039DF38D" w14:textId="77777777" w:rsidR="00E3289C" w:rsidRPr="00187BBA" w:rsidRDefault="00E3289C" w:rsidP="00E3289C">
            <w:pPr>
              <w:pStyle w:val="BodyText"/>
              <w:widowControl w:val="0"/>
              <w:jc w:val="center"/>
              <w:rPr>
                <w:b/>
                <w:bCs/>
                <w:szCs w:val="24"/>
              </w:rPr>
            </w:pPr>
            <w:r w:rsidRPr="00187BBA">
              <w:rPr>
                <w:b/>
                <w:bCs/>
                <w:szCs w:val="24"/>
              </w:rPr>
              <w:t>£m</w:t>
            </w:r>
          </w:p>
        </w:tc>
        <w:tc>
          <w:tcPr>
            <w:tcW w:w="1134" w:type="dxa"/>
            <w:shd w:val="clear" w:color="auto" w:fill="B3B3B3"/>
          </w:tcPr>
          <w:p w14:paraId="5D951D6C" w14:textId="77777777" w:rsidR="00E3289C" w:rsidRPr="00187BBA" w:rsidRDefault="00E3289C" w:rsidP="00E3289C">
            <w:pPr>
              <w:pStyle w:val="BodyText"/>
              <w:widowControl w:val="0"/>
              <w:jc w:val="center"/>
              <w:rPr>
                <w:b/>
                <w:bCs/>
                <w:szCs w:val="24"/>
              </w:rPr>
            </w:pPr>
            <w:r w:rsidRPr="00187BBA">
              <w:rPr>
                <w:b/>
                <w:bCs/>
                <w:szCs w:val="24"/>
              </w:rPr>
              <w:t>202</w:t>
            </w:r>
            <w:r>
              <w:rPr>
                <w:b/>
                <w:bCs/>
                <w:szCs w:val="24"/>
              </w:rPr>
              <w:t>7</w:t>
            </w:r>
            <w:r w:rsidRPr="00187BBA">
              <w:rPr>
                <w:b/>
                <w:bCs/>
                <w:szCs w:val="24"/>
              </w:rPr>
              <w:t>/2</w:t>
            </w:r>
            <w:r>
              <w:rPr>
                <w:b/>
                <w:bCs/>
                <w:szCs w:val="24"/>
              </w:rPr>
              <w:t>8</w:t>
            </w:r>
          </w:p>
          <w:p w14:paraId="3C9690BA" w14:textId="77777777" w:rsidR="00E3289C" w:rsidRPr="00187BBA" w:rsidRDefault="00E3289C" w:rsidP="00E3289C">
            <w:pPr>
              <w:pStyle w:val="BodyText"/>
              <w:widowControl w:val="0"/>
              <w:jc w:val="center"/>
              <w:rPr>
                <w:b/>
                <w:bCs/>
                <w:szCs w:val="24"/>
              </w:rPr>
            </w:pPr>
            <w:r w:rsidRPr="00187BBA">
              <w:rPr>
                <w:b/>
                <w:bCs/>
                <w:szCs w:val="24"/>
              </w:rPr>
              <w:t>£m</w:t>
            </w:r>
          </w:p>
        </w:tc>
        <w:tc>
          <w:tcPr>
            <w:tcW w:w="1134" w:type="dxa"/>
            <w:shd w:val="clear" w:color="auto" w:fill="B3B3B3"/>
          </w:tcPr>
          <w:p w14:paraId="773AF6E6" w14:textId="77777777" w:rsidR="00E3289C" w:rsidRPr="00187BBA" w:rsidRDefault="00E3289C" w:rsidP="00E3289C">
            <w:pPr>
              <w:pStyle w:val="BodyText"/>
              <w:widowControl w:val="0"/>
              <w:jc w:val="center"/>
              <w:rPr>
                <w:b/>
                <w:bCs/>
                <w:szCs w:val="24"/>
              </w:rPr>
            </w:pPr>
            <w:r w:rsidRPr="00187BBA">
              <w:rPr>
                <w:b/>
                <w:bCs/>
                <w:szCs w:val="24"/>
              </w:rPr>
              <w:t>202</w:t>
            </w:r>
            <w:r>
              <w:rPr>
                <w:b/>
                <w:bCs/>
                <w:szCs w:val="24"/>
              </w:rPr>
              <w:t>8</w:t>
            </w:r>
            <w:r w:rsidRPr="00187BBA">
              <w:rPr>
                <w:b/>
                <w:bCs/>
                <w:szCs w:val="24"/>
              </w:rPr>
              <w:t>/2</w:t>
            </w:r>
            <w:r>
              <w:rPr>
                <w:b/>
                <w:bCs/>
                <w:szCs w:val="24"/>
              </w:rPr>
              <w:t>9</w:t>
            </w:r>
          </w:p>
          <w:p w14:paraId="2C1ED2C3" w14:textId="77777777" w:rsidR="00E3289C" w:rsidRPr="00187BBA" w:rsidRDefault="00E3289C" w:rsidP="00E3289C">
            <w:pPr>
              <w:pStyle w:val="BodyText"/>
              <w:widowControl w:val="0"/>
              <w:jc w:val="center"/>
              <w:rPr>
                <w:b/>
                <w:bCs/>
                <w:szCs w:val="24"/>
              </w:rPr>
            </w:pPr>
            <w:r w:rsidRPr="00187BBA">
              <w:rPr>
                <w:b/>
                <w:bCs/>
                <w:szCs w:val="24"/>
              </w:rPr>
              <w:t>£m</w:t>
            </w:r>
          </w:p>
        </w:tc>
      </w:tr>
      <w:tr w:rsidR="00E3289C" w:rsidRPr="00187BBA" w14:paraId="30104F8D" w14:textId="77777777" w:rsidTr="0026558B">
        <w:tc>
          <w:tcPr>
            <w:tcW w:w="3827" w:type="dxa"/>
          </w:tcPr>
          <w:p w14:paraId="489AF070" w14:textId="77777777" w:rsidR="00E3289C" w:rsidRPr="00187BBA" w:rsidRDefault="00E3289C" w:rsidP="00E3289C">
            <w:pPr>
              <w:pStyle w:val="Footer"/>
              <w:widowControl w:val="0"/>
              <w:tabs>
                <w:tab w:val="clear" w:pos="4153"/>
                <w:tab w:val="clear" w:pos="8306"/>
                <w:tab w:val="left" w:pos="900"/>
              </w:tabs>
              <w:rPr>
                <w:rFonts w:ascii="Arial" w:hAnsi="Arial" w:cs="Arial"/>
                <w:sz w:val="22"/>
                <w:szCs w:val="22"/>
              </w:rPr>
            </w:pPr>
            <w:r w:rsidRPr="00187BBA">
              <w:rPr>
                <w:rFonts w:ascii="Arial" w:hAnsi="Arial" w:cs="Arial"/>
                <w:sz w:val="22"/>
                <w:szCs w:val="22"/>
              </w:rPr>
              <w:t>a) Authorised Limit to External Debt</w:t>
            </w:r>
          </w:p>
        </w:tc>
        <w:tc>
          <w:tcPr>
            <w:tcW w:w="1134" w:type="dxa"/>
          </w:tcPr>
          <w:p w14:paraId="7B06DA2A" w14:textId="77777777" w:rsidR="00E3289C" w:rsidRPr="00187BBA" w:rsidRDefault="00E3289C" w:rsidP="00E3289C">
            <w:pPr>
              <w:widowControl w:val="0"/>
              <w:ind w:right="346"/>
              <w:jc w:val="right"/>
              <w:rPr>
                <w:rFonts w:ascii="Arial" w:hAnsi="Arial" w:cs="Arial"/>
              </w:rPr>
            </w:pPr>
            <w:r w:rsidRPr="00187BBA">
              <w:rPr>
                <w:rFonts w:ascii="Arial" w:hAnsi="Arial" w:cs="Arial"/>
              </w:rPr>
              <w:t>75</w:t>
            </w:r>
          </w:p>
        </w:tc>
        <w:tc>
          <w:tcPr>
            <w:tcW w:w="1134" w:type="dxa"/>
          </w:tcPr>
          <w:p w14:paraId="50EC8986" w14:textId="77777777" w:rsidR="00E3289C" w:rsidRPr="00187BBA" w:rsidRDefault="00E3289C" w:rsidP="00E3289C">
            <w:pPr>
              <w:widowControl w:val="0"/>
              <w:tabs>
                <w:tab w:val="right" w:pos="702"/>
              </w:tabs>
              <w:ind w:right="346"/>
              <w:jc w:val="right"/>
              <w:rPr>
                <w:rFonts w:ascii="Arial" w:hAnsi="Arial" w:cs="Arial"/>
              </w:rPr>
            </w:pPr>
            <w:r w:rsidRPr="00187BBA">
              <w:rPr>
                <w:rFonts w:ascii="Arial" w:hAnsi="Arial" w:cs="Arial"/>
              </w:rPr>
              <w:t>75</w:t>
            </w:r>
          </w:p>
        </w:tc>
        <w:tc>
          <w:tcPr>
            <w:tcW w:w="1134" w:type="dxa"/>
          </w:tcPr>
          <w:p w14:paraId="1D64B4B8" w14:textId="77777777" w:rsidR="00E3289C" w:rsidRPr="00187BBA" w:rsidRDefault="00E3289C" w:rsidP="00E3289C">
            <w:pPr>
              <w:widowControl w:val="0"/>
              <w:ind w:right="346"/>
              <w:jc w:val="right"/>
              <w:rPr>
                <w:rFonts w:ascii="Arial" w:hAnsi="Arial" w:cs="Arial"/>
              </w:rPr>
            </w:pPr>
            <w:r w:rsidRPr="00187BBA">
              <w:rPr>
                <w:rFonts w:ascii="Arial" w:hAnsi="Arial" w:cs="Arial"/>
              </w:rPr>
              <w:t>75</w:t>
            </w:r>
          </w:p>
        </w:tc>
        <w:tc>
          <w:tcPr>
            <w:tcW w:w="1134" w:type="dxa"/>
          </w:tcPr>
          <w:p w14:paraId="3B75C4EB" w14:textId="77777777" w:rsidR="00E3289C" w:rsidRPr="00187BBA" w:rsidRDefault="00E3289C" w:rsidP="00E3289C">
            <w:pPr>
              <w:widowControl w:val="0"/>
              <w:ind w:right="346"/>
              <w:jc w:val="right"/>
              <w:rPr>
                <w:rFonts w:ascii="Arial" w:hAnsi="Arial" w:cs="Arial"/>
              </w:rPr>
            </w:pPr>
            <w:r w:rsidRPr="00187BBA">
              <w:rPr>
                <w:rFonts w:ascii="Arial" w:hAnsi="Arial" w:cs="Arial"/>
              </w:rPr>
              <w:t>75</w:t>
            </w:r>
          </w:p>
        </w:tc>
      </w:tr>
      <w:tr w:rsidR="00E3289C" w:rsidRPr="00187BBA" w14:paraId="6F2F9009" w14:textId="77777777" w:rsidTr="0026558B">
        <w:tc>
          <w:tcPr>
            <w:tcW w:w="3827" w:type="dxa"/>
          </w:tcPr>
          <w:p w14:paraId="7CC8A870" w14:textId="77777777" w:rsidR="00E3289C" w:rsidRPr="00187BBA" w:rsidRDefault="00E3289C" w:rsidP="00E3289C">
            <w:pPr>
              <w:pStyle w:val="Footer"/>
              <w:widowControl w:val="0"/>
              <w:tabs>
                <w:tab w:val="clear" w:pos="4153"/>
                <w:tab w:val="clear" w:pos="8306"/>
                <w:tab w:val="left" w:pos="900"/>
              </w:tabs>
              <w:rPr>
                <w:rFonts w:ascii="Arial" w:hAnsi="Arial" w:cs="Arial"/>
                <w:sz w:val="22"/>
                <w:szCs w:val="22"/>
              </w:rPr>
            </w:pPr>
            <w:r w:rsidRPr="00187BBA">
              <w:rPr>
                <w:rFonts w:ascii="Arial" w:hAnsi="Arial" w:cs="Arial"/>
                <w:sz w:val="22"/>
                <w:szCs w:val="22"/>
              </w:rPr>
              <w:t>b) Operational Boundary</w:t>
            </w:r>
          </w:p>
        </w:tc>
        <w:tc>
          <w:tcPr>
            <w:tcW w:w="1134" w:type="dxa"/>
          </w:tcPr>
          <w:p w14:paraId="38F2D72F" w14:textId="77777777" w:rsidR="00E3289C" w:rsidRPr="00187BBA" w:rsidRDefault="00E3289C" w:rsidP="00E3289C">
            <w:pPr>
              <w:widowControl w:val="0"/>
              <w:ind w:right="346"/>
              <w:jc w:val="right"/>
              <w:rPr>
                <w:rFonts w:ascii="Arial" w:hAnsi="Arial" w:cs="Arial"/>
              </w:rPr>
            </w:pPr>
            <w:r w:rsidRPr="00187BBA">
              <w:rPr>
                <w:rFonts w:ascii="Arial" w:hAnsi="Arial" w:cs="Arial"/>
              </w:rPr>
              <w:t>70</w:t>
            </w:r>
          </w:p>
        </w:tc>
        <w:tc>
          <w:tcPr>
            <w:tcW w:w="1134" w:type="dxa"/>
          </w:tcPr>
          <w:p w14:paraId="573601B6" w14:textId="77777777" w:rsidR="00E3289C" w:rsidRPr="00187BBA" w:rsidRDefault="00E3289C" w:rsidP="00E3289C">
            <w:pPr>
              <w:widowControl w:val="0"/>
              <w:tabs>
                <w:tab w:val="right" w:pos="702"/>
              </w:tabs>
              <w:ind w:right="346"/>
              <w:jc w:val="right"/>
              <w:rPr>
                <w:rFonts w:ascii="Arial" w:hAnsi="Arial" w:cs="Arial"/>
              </w:rPr>
            </w:pPr>
            <w:r w:rsidRPr="00187BBA">
              <w:rPr>
                <w:rFonts w:ascii="Arial" w:hAnsi="Arial" w:cs="Arial"/>
              </w:rPr>
              <w:t>70</w:t>
            </w:r>
          </w:p>
        </w:tc>
        <w:tc>
          <w:tcPr>
            <w:tcW w:w="1134" w:type="dxa"/>
          </w:tcPr>
          <w:p w14:paraId="4DEC8293" w14:textId="77777777" w:rsidR="00E3289C" w:rsidRPr="00187BBA" w:rsidRDefault="00E3289C" w:rsidP="00E3289C">
            <w:pPr>
              <w:widowControl w:val="0"/>
              <w:ind w:right="346"/>
              <w:jc w:val="right"/>
              <w:rPr>
                <w:rFonts w:ascii="Arial" w:hAnsi="Arial" w:cs="Arial"/>
              </w:rPr>
            </w:pPr>
            <w:r w:rsidRPr="00187BBA">
              <w:rPr>
                <w:rFonts w:ascii="Arial" w:hAnsi="Arial" w:cs="Arial"/>
              </w:rPr>
              <w:t>70</w:t>
            </w:r>
          </w:p>
        </w:tc>
        <w:tc>
          <w:tcPr>
            <w:tcW w:w="1134" w:type="dxa"/>
          </w:tcPr>
          <w:p w14:paraId="055A2AFB" w14:textId="77777777" w:rsidR="00E3289C" w:rsidRPr="00187BBA" w:rsidRDefault="00E3289C" w:rsidP="00E3289C">
            <w:pPr>
              <w:widowControl w:val="0"/>
              <w:ind w:right="346"/>
              <w:jc w:val="right"/>
              <w:rPr>
                <w:rFonts w:ascii="Arial" w:hAnsi="Arial" w:cs="Arial"/>
              </w:rPr>
            </w:pPr>
            <w:r w:rsidRPr="00187BBA">
              <w:rPr>
                <w:rFonts w:ascii="Arial" w:hAnsi="Arial" w:cs="Arial"/>
              </w:rPr>
              <w:t>70</w:t>
            </w:r>
          </w:p>
        </w:tc>
      </w:tr>
    </w:tbl>
    <w:p w14:paraId="0EB59399" w14:textId="77777777" w:rsidR="00E3289C" w:rsidRPr="00187BBA" w:rsidRDefault="00E3289C" w:rsidP="00E3289C">
      <w:pPr>
        <w:widowControl w:val="0"/>
        <w:ind w:left="1276" w:hanging="567"/>
        <w:jc w:val="both"/>
        <w:rPr>
          <w:rFonts w:ascii="Arial" w:hAnsi="Arial" w:cs="Arial"/>
          <w:b/>
          <w:iCs/>
          <w:sz w:val="20"/>
          <w:szCs w:val="20"/>
        </w:rPr>
      </w:pPr>
    </w:p>
    <w:p w14:paraId="66EBFE77" w14:textId="77777777" w:rsidR="00E3289C" w:rsidRPr="00C54635" w:rsidRDefault="00E3289C" w:rsidP="00E3289C">
      <w:pPr>
        <w:widowControl w:val="0"/>
        <w:ind w:left="1276" w:hanging="567"/>
        <w:jc w:val="both"/>
        <w:rPr>
          <w:rFonts w:ascii="Arial" w:hAnsi="Arial" w:cs="Arial"/>
          <w:iCs/>
          <w:sz w:val="20"/>
          <w:szCs w:val="20"/>
        </w:rPr>
      </w:pPr>
      <w:r w:rsidRPr="00187BBA">
        <w:rPr>
          <w:rFonts w:ascii="Arial" w:hAnsi="Arial" w:cs="Arial"/>
          <w:iCs/>
          <w:sz w:val="20"/>
          <w:szCs w:val="20"/>
        </w:rPr>
        <w:tab/>
      </w:r>
    </w:p>
    <w:p w14:paraId="068E09AE" w14:textId="77777777" w:rsidR="00E3289C" w:rsidRPr="002F2F50" w:rsidRDefault="00E3289C" w:rsidP="0056546A">
      <w:pPr>
        <w:widowControl w:val="0"/>
        <w:numPr>
          <w:ilvl w:val="1"/>
          <w:numId w:val="32"/>
        </w:numPr>
        <w:ind w:left="709" w:hanging="709"/>
        <w:rPr>
          <w:rFonts w:ascii="Arial" w:hAnsi="Arial" w:cs="Arial"/>
          <w:b/>
        </w:rPr>
      </w:pPr>
      <w:r w:rsidRPr="002F2F50">
        <w:rPr>
          <w:rFonts w:ascii="Arial" w:hAnsi="Arial" w:cs="Arial"/>
          <w:b/>
        </w:rPr>
        <w:t>Borrowing strategy</w:t>
      </w:r>
      <w:bookmarkEnd w:id="6"/>
      <w:r w:rsidRPr="002F2F50">
        <w:rPr>
          <w:rFonts w:ascii="Arial" w:hAnsi="Arial" w:cs="Arial"/>
          <w:b/>
        </w:rPr>
        <w:t xml:space="preserve"> </w:t>
      </w:r>
    </w:p>
    <w:p w14:paraId="121601A6" w14:textId="77777777" w:rsidR="00E3289C" w:rsidRPr="002F2F50" w:rsidRDefault="00E3289C" w:rsidP="00E3289C">
      <w:pPr>
        <w:widowControl w:val="0"/>
        <w:tabs>
          <w:tab w:val="left" w:pos="0"/>
        </w:tabs>
        <w:ind w:left="792"/>
        <w:rPr>
          <w:rFonts w:ascii="Arial" w:hAnsi="Arial" w:cs="Arial"/>
          <w:b/>
        </w:rPr>
      </w:pPr>
    </w:p>
    <w:p w14:paraId="714A01F0" w14:textId="77777777" w:rsidR="00E3289C" w:rsidRPr="002F2F50" w:rsidRDefault="00E3289C" w:rsidP="0056546A">
      <w:pPr>
        <w:widowControl w:val="0"/>
        <w:numPr>
          <w:ilvl w:val="2"/>
          <w:numId w:val="32"/>
        </w:numPr>
        <w:ind w:left="709" w:hanging="709"/>
        <w:jc w:val="both"/>
        <w:rPr>
          <w:rFonts w:ascii="Arial" w:hAnsi="Arial" w:cs="Arial"/>
        </w:rPr>
      </w:pPr>
      <w:r w:rsidRPr="002F2F50">
        <w:rPr>
          <w:rFonts w:ascii="Arial" w:hAnsi="Arial" w:cs="Arial"/>
        </w:rPr>
        <w:t>The Council may need to borrow in order to fund potential major projects. The exact timing however will depend on project timescales, projected borrowing rates and cashflow requirements. The limits above reflect the fact that Hertsmere are looking at an internal development programme including investment in Hertsmere Developments Limited with an already agreed loan facility of £50 million. The above limits will be reviewed and increased in line with various schemes as they are approved by full Council.</w:t>
      </w:r>
    </w:p>
    <w:p w14:paraId="3F393CB6" w14:textId="77777777" w:rsidR="00E3289C" w:rsidRPr="002F2F50" w:rsidRDefault="00E3289C" w:rsidP="00E3289C">
      <w:pPr>
        <w:widowControl w:val="0"/>
        <w:tabs>
          <w:tab w:val="left" w:pos="0"/>
        </w:tabs>
        <w:rPr>
          <w:rFonts w:ascii="Arial" w:hAnsi="Arial" w:cs="Arial"/>
          <w:bCs/>
          <w:noProof/>
        </w:rPr>
      </w:pPr>
    </w:p>
    <w:p w14:paraId="11DAFAF2" w14:textId="77777777" w:rsidR="00E3289C" w:rsidRPr="002F2F50" w:rsidRDefault="00E3289C" w:rsidP="0056546A">
      <w:pPr>
        <w:widowControl w:val="0"/>
        <w:numPr>
          <w:ilvl w:val="1"/>
          <w:numId w:val="32"/>
        </w:numPr>
        <w:ind w:left="709" w:hanging="709"/>
        <w:rPr>
          <w:rFonts w:ascii="Arial" w:hAnsi="Arial" w:cs="Arial"/>
          <w:b/>
        </w:rPr>
      </w:pPr>
      <w:r w:rsidRPr="002F2F50">
        <w:rPr>
          <w:rFonts w:ascii="Arial" w:hAnsi="Arial" w:cs="Arial"/>
          <w:b/>
        </w:rPr>
        <w:t>Public Works Loan Board (PWLB)</w:t>
      </w:r>
    </w:p>
    <w:p w14:paraId="18D9CDD0" w14:textId="77777777" w:rsidR="00E3289C" w:rsidRPr="002F2F50" w:rsidRDefault="00E3289C" w:rsidP="00E3289C">
      <w:pPr>
        <w:widowControl w:val="0"/>
        <w:tabs>
          <w:tab w:val="left" w:pos="0"/>
          <w:tab w:val="left" w:pos="1197"/>
        </w:tabs>
        <w:ind w:left="792"/>
        <w:rPr>
          <w:rFonts w:ascii="Arial" w:hAnsi="Arial" w:cs="Arial"/>
          <w:b/>
        </w:rPr>
      </w:pPr>
      <w:r w:rsidRPr="002F2F50">
        <w:rPr>
          <w:rFonts w:ascii="Arial" w:hAnsi="Arial" w:cs="Arial"/>
          <w:b/>
        </w:rPr>
        <w:tab/>
      </w:r>
    </w:p>
    <w:p w14:paraId="76B96B5E" w14:textId="77777777" w:rsidR="00E3289C" w:rsidRPr="002F2F50" w:rsidRDefault="00E3289C" w:rsidP="0056546A">
      <w:pPr>
        <w:widowControl w:val="0"/>
        <w:numPr>
          <w:ilvl w:val="2"/>
          <w:numId w:val="32"/>
        </w:numPr>
        <w:ind w:left="709" w:hanging="709"/>
        <w:jc w:val="both"/>
        <w:rPr>
          <w:rFonts w:ascii="Arial" w:hAnsi="Arial" w:cs="Arial"/>
        </w:rPr>
      </w:pPr>
      <w:r w:rsidRPr="002F2F50">
        <w:rPr>
          <w:rFonts w:ascii="Arial" w:hAnsi="Arial" w:cs="Arial"/>
        </w:rPr>
        <w:t xml:space="preserve">The PWLB have for many years provided the lowest borrowing rates available to Local Authorities. Loans are easily accessible and can generally be arranged within a few days. The council has secured the “Certainty rate” which offers a 0.20% reduction to the PWLB normal rates. Whilst PWLB rates remain low careful consideration needs to be given as to the timing of any borrowing to ensure that the cost of carry does not outweigh the benefits of low rates. </w:t>
      </w:r>
    </w:p>
    <w:p w14:paraId="4258E7F0" w14:textId="77777777" w:rsidR="00E3289C" w:rsidRPr="002F2F50" w:rsidRDefault="00E3289C" w:rsidP="00E3289C">
      <w:pPr>
        <w:widowControl w:val="0"/>
        <w:ind w:left="646"/>
        <w:jc w:val="both"/>
        <w:rPr>
          <w:rFonts w:ascii="Arial" w:hAnsi="Arial" w:cs="Arial"/>
        </w:rPr>
      </w:pPr>
    </w:p>
    <w:p w14:paraId="67C6C684" w14:textId="2E29F428" w:rsidR="00E3289C" w:rsidRPr="002F2F50" w:rsidRDefault="00E3289C" w:rsidP="0056546A">
      <w:pPr>
        <w:widowControl w:val="0"/>
        <w:numPr>
          <w:ilvl w:val="2"/>
          <w:numId w:val="32"/>
        </w:numPr>
        <w:ind w:left="709" w:hanging="709"/>
        <w:jc w:val="both"/>
        <w:rPr>
          <w:rFonts w:ascii="Arial" w:hAnsi="Arial" w:cs="Arial"/>
        </w:rPr>
      </w:pPr>
      <w:r w:rsidRPr="002F2F50">
        <w:rPr>
          <w:rFonts w:ascii="Arial" w:hAnsi="Arial" w:cs="Arial"/>
        </w:rPr>
        <w:t xml:space="preserve">There is a restriction applied to new borrowing whereby the PWLB will not lend to a local authority that plans to </w:t>
      </w:r>
      <w:r w:rsidR="00226735">
        <w:rPr>
          <w:rFonts w:ascii="Arial" w:hAnsi="Arial" w:cs="Arial"/>
        </w:rPr>
        <w:t>invest in</w:t>
      </w:r>
      <w:r w:rsidRPr="002F2F50">
        <w:rPr>
          <w:rFonts w:ascii="Arial" w:hAnsi="Arial" w:cs="Arial"/>
        </w:rPr>
        <w:t xml:space="preserve"> investment assets primarily for yield in the capital programme. This does however exclude Housing Development.</w:t>
      </w:r>
    </w:p>
    <w:p w14:paraId="4FBA981C" w14:textId="77777777" w:rsidR="00E3289C" w:rsidRPr="002F2F50" w:rsidRDefault="00E3289C" w:rsidP="00E3289C">
      <w:pPr>
        <w:widowControl w:val="0"/>
        <w:tabs>
          <w:tab w:val="left" w:pos="0"/>
        </w:tabs>
        <w:rPr>
          <w:rFonts w:ascii="Arial" w:hAnsi="Arial" w:cs="Arial"/>
          <w:b/>
        </w:rPr>
      </w:pPr>
    </w:p>
    <w:p w14:paraId="446A4210" w14:textId="77777777" w:rsidR="00E3289C" w:rsidRPr="002F2F50" w:rsidRDefault="00E3289C" w:rsidP="00226735">
      <w:pPr>
        <w:keepNext/>
        <w:widowControl w:val="0"/>
        <w:numPr>
          <w:ilvl w:val="1"/>
          <w:numId w:val="32"/>
        </w:numPr>
        <w:ind w:left="709" w:hanging="709"/>
        <w:rPr>
          <w:rFonts w:ascii="Arial" w:hAnsi="Arial" w:cs="Arial"/>
          <w:b/>
        </w:rPr>
      </w:pPr>
      <w:r w:rsidRPr="002F2F50">
        <w:rPr>
          <w:rFonts w:ascii="Arial" w:hAnsi="Arial" w:cs="Arial"/>
          <w:b/>
        </w:rPr>
        <w:t>UK Municipal Bonds Agency Plc</w:t>
      </w:r>
    </w:p>
    <w:p w14:paraId="3B753C20" w14:textId="77777777" w:rsidR="00E3289C" w:rsidRPr="002F2F50" w:rsidRDefault="00E3289C" w:rsidP="00226735">
      <w:pPr>
        <w:keepNext/>
        <w:widowControl w:val="0"/>
        <w:ind w:left="646"/>
        <w:jc w:val="both"/>
        <w:rPr>
          <w:rFonts w:ascii="Arial" w:hAnsi="Arial" w:cs="Arial"/>
        </w:rPr>
      </w:pPr>
    </w:p>
    <w:p w14:paraId="1B906913" w14:textId="77777777" w:rsidR="00E3289C" w:rsidRDefault="00E3289C" w:rsidP="0056546A">
      <w:pPr>
        <w:widowControl w:val="0"/>
        <w:numPr>
          <w:ilvl w:val="2"/>
          <w:numId w:val="32"/>
        </w:numPr>
        <w:ind w:left="709" w:hanging="709"/>
        <w:jc w:val="both"/>
        <w:rPr>
          <w:rFonts w:ascii="Arial" w:hAnsi="Arial" w:cs="Arial"/>
        </w:rPr>
      </w:pPr>
      <w:r w:rsidRPr="00FC19B9">
        <w:rPr>
          <w:rFonts w:ascii="Arial" w:hAnsi="Arial" w:cs="Arial"/>
        </w:rPr>
        <w:t xml:space="preserve">The UK Municipal Bonds Agency Plc (The Agency) was established in 2014 as an alternative (or competitor) to the PWLB, with the purpose of reducing borrowing rates for Local Authorities. The Agency is owned by </w:t>
      </w:r>
      <w:r w:rsidRPr="003E550E">
        <w:rPr>
          <w:rFonts w:ascii="Arial" w:hAnsi="Arial" w:cs="Arial"/>
        </w:rPr>
        <w:t xml:space="preserve">a consortium of </w:t>
      </w:r>
      <w:r w:rsidRPr="00FC19B9">
        <w:rPr>
          <w:rFonts w:ascii="Arial" w:hAnsi="Arial" w:cs="Arial"/>
        </w:rPr>
        <w:t xml:space="preserve">local authorities and the LGA and provided loans to </w:t>
      </w:r>
      <w:proofErr w:type="gramStart"/>
      <w:r w:rsidRPr="00FC19B9">
        <w:rPr>
          <w:rFonts w:ascii="Arial" w:hAnsi="Arial" w:cs="Arial"/>
        </w:rPr>
        <w:t>LA’s</w:t>
      </w:r>
      <w:proofErr w:type="gramEnd"/>
      <w:r w:rsidRPr="00FC19B9">
        <w:rPr>
          <w:rFonts w:ascii="Arial" w:hAnsi="Arial" w:cs="Arial"/>
        </w:rPr>
        <w:t xml:space="preserve"> for the purpose of financing projects such as infrastructure and housing. The Agency, which raises </w:t>
      </w:r>
      <w:r w:rsidRPr="00FC19B9">
        <w:rPr>
          <w:rFonts w:ascii="Arial" w:hAnsi="Arial" w:cs="Arial"/>
        </w:rPr>
        <w:lastRenderedPageBreak/>
        <w:t>finance by issuing municipal bonds to capital markets, claimed to offer the lowest borrowing rates for Local Authorities</w:t>
      </w:r>
      <w:r>
        <w:rPr>
          <w:rFonts w:ascii="Arial" w:hAnsi="Arial" w:cs="Arial"/>
        </w:rPr>
        <w:t>, however during 2025 UK Municipal Bonds Agency took the decision to stop issuing new loans and is no longer an option for borrowing.</w:t>
      </w:r>
    </w:p>
    <w:p w14:paraId="0E1BC264" w14:textId="77777777" w:rsidR="00E3289C" w:rsidRPr="00FC19B9" w:rsidRDefault="00E3289C" w:rsidP="00E3289C">
      <w:pPr>
        <w:widowControl w:val="0"/>
        <w:ind w:left="709"/>
        <w:jc w:val="both"/>
        <w:rPr>
          <w:rFonts w:ascii="Arial" w:hAnsi="Arial" w:cs="Arial"/>
        </w:rPr>
      </w:pPr>
      <w:r>
        <w:rPr>
          <w:rFonts w:ascii="Arial" w:hAnsi="Arial" w:cs="Arial"/>
        </w:rPr>
        <w:t xml:space="preserve"> </w:t>
      </w:r>
    </w:p>
    <w:p w14:paraId="59FD2A8D" w14:textId="77777777" w:rsidR="00E3289C" w:rsidRPr="002F2F50" w:rsidRDefault="00E3289C" w:rsidP="0056546A">
      <w:pPr>
        <w:keepNext/>
        <w:widowControl w:val="0"/>
        <w:numPr>
          <w:ilvl w:val="1"/>
          <w:numId w:val="32"/>
        </w:numPr>
        <w:ind w:left="709" w:hanging="709"/>
        <w:rPr>
          <w:rFonts w:ascii="Arial" w:hAnsi="Arial" w:cs="Arial"/>
          <w:b/>
        </w:rPr>
      </w:pPr>
      <w:r w:rsidRPr="002F2F50">
        <w:rPr>
          <w:rFonts w:ascii="Arial" w:hAnsi="Arial" w:cs="Arial"/>
          <w:b/>
        </w:rPr>
        <w:t>Treasury management limits on activity</w:t>
      </w:r>
    </w:p>
    <w:p w14:paraId="60565436" w14:textId="77777777" w:rsidR="00E3289C" w:rsidRPr="002F2F50" w:rsidRDefault="00E3289C" w:rsidP="00E3289C">
      <w:pPr>
        <w:keepNext/>
        <w:widowControl w:val="0"/>
        <w:tabs>
          <w:tab w:val="left" w:pos="0"/>
        </w:tabs>
        <w:ind w:left="792"/>
        <w:rPr>
          <w:rFonts w:ascii="Arial" w:hAnsi="Arial" w:cs="Arial"/>
          <w:noProof/>
        </w:rPr>
      </w:pPr>
    </w:p>
    <w:p w14:paraId="6AE99885" w14:textId="77777777" w:rsidR="00E3289C" w:rsidRPr="002F2F50" w:rsidRDefault="00E3289C" w:rsidP="0056546A">
      <w:pPr>
        <w:widowControl w:val="0"/>
        <w:numPr>
          <w:ilvl w:val="2"/>
          <w:numId w:val="32"/>
        </w:numPr>
        <w:ind w:left="709" w:hanging="709"/>
        <w:jc w:val="both"/>
        <w:rPr>
          <w:rFonts w:ascii="Arial" w:hAnsi="Arial" w:cs="Arial"/>
        </w:rPr>
      </w:pPr>
      <w:r w:rsidRPr="002F2F50">
        <w:rPr>
          <w:rFonts w:ascii="Arial" w:hAnsi="Arial" w:cs="Arial"/>
        </w:rPr>
        <w:t xml:space="preserve">There are three debt related treasury activity limits.  The purpose of these </w:t>
      </w:r>
      <w:proofErr w:type="gramStart"/>
      <w:r w:rsidRPr="002F2F50">
        <w:rPr>
          <w:rFonts w:ascii="Arial" w:hAnsi="Arial" w:cs="Arial"/>
        </w:rPr>
        <w:t>are</w:t>
      </w:r>
      <w:proofErr w:type="gramEnd"/>
      <w:r w:rsidRPr="002F2F50">
        <w:rPr>
          <w:rFonts w:ascii="Arial" w:hAnsi="Arial" w:cs="Arial"/>
        </w:rPr>
        <w:t xml:space="preserve"> to restrain the activity of the treasury function within certain limits, thereby managing risk and reducing the impact of any adverse movement in interest rates. However, if these are set to be too </w:t>
      </w:r>
      <w:proofErr w:type="gramStart"/>
      <w:r w:rsidRPr="002F2F50">
        <w:rPr>
          <w:rFonts w:ascii="Arial" w:hAnsi="Arial" w:cs="Arial"/>
        </w:rPr>
        <w:t>restrictive</w:t>
      </w:r>
      <w:proofErr w:type="gramEnd"/>
      <w:r w:rsidRPr="002F2F50">
        <w:rPr>
          <w:rFonts w:ascii="Arial" w:hAnsi="Arial" w:cs="Arial"/>
        </w:rPr>
        <w:t xml:space="preserve"> they can impair the opportunities to reduce costs/improve performance.  The indicator limits are:</w:t>
      </w:r>
    </w:p>
    <w:p w14:paraId="1E8D1EA7" w14:textId="77777777" w:rsidR="00E3289C" w:rsidRPr="002F2F50" w:rsidRDefault="00E3289C" w:rsidP="00E3289C">
      <w:pPr>
        <w:widowControl w:val="0"/>
        <w:ind w:left="709"/>
        <w:jc w:val="both"/>
        <w:rPr>
          <w:rFonts w:ascii="Arial" w:hAnsi="Arial" w:cs="Arial"/>
          <w:noProof/>
        </w:rPr>
      </w:pPr>
    </w:p>
    <w:p w14:paraId="26DDBBB8" w14:textId="77777777" w:rsidR="00E3289C" w:rsidRPr="002F2F50" w:rsidRDefault="00E3289C" w:rsidP="00226735">
      <w:pPr>
        <w:pStyle w:val="BodyText"/>
        <w:widowControl w:val="0"/>
        <w:numPr>
          <w:ilvl w:val="0"/>
          <w:numId w:val="7"/>
        </w:numPr>
        <w:tabs>
          <w:tab w:val="clear" w:pos="947"/>
        </w:tabs>
        <w:spacing w:after="120"/>
        <w:ind w:left="993" w:hanging="284"/>
        <w:rPr>
          <w:i/>
          <w:color w:val="0000FF"/>
          <w:szCs w:val="24"/>
        </w:rPr>
      </w:pPr>
      <w:r w:rsidRPr="002F2F50">
        <w:rPr>
          <w:szCs w:val="24"/>
        </w:rPr>
        <w:t>Upper limits on variable interest rate exposure. This identifies a maximum limit for variable interest rates based upon the debt position net of investments;</w:t>
      </w:r>
    </w:p>
    <w:p w14:paraId="23774D86" w14:textId="77777777" w:rsidR="00E3289C" w:rsidRPr="002F2F50" w:rsidRDefault="00E3289C" w:rsidP="00226735">
      <w:pPr>
        <w:pStyle w:val="BodyText"/>
        <w:widowControl w:val="0"/>
        <w:numPr>
          <w:ilvl w:val="0"/>
          <w:numId w:val="7"/>
        </w:numPr>
        <w:tabs>
          <w:tab w:val="clear" w:pos="947"/>
        </w:tabs>
        <w:spacing w:after="120"/>
        <w:ind w:left="993" w:hanging="284"/>
        <w:rPr>
          <w:szCs w:val="24"/>
        </w:rPr>
      </w:pPr>
      <w:r w:rsidRPr="002F2F50">
        <w:rPr>
          <w:szCs w:val="24"/>
        </w:rPr>
        <w:t xml:space="preserve">Upper limits on fixed interest rate exposure. This is </w:t>
      </w:r>
      <w:proofErr w:type="gramStart"/>
      <w:r w:rsidRPr="002F2F50">
        <w:rPr>
          <w:szCs w:val="24"/>
        </w:rPr>
        <w:t>similar to</w:t>
      </w:r>
      <w:proofErr w:type="gramEnd"/>
      <w:r w:rsidRPr="002F2F50">
        <w:rPr>
          <w:szCs w:val="24"/>
        </w:rPr>
        <w:t xml:space="preserve"> the previous indicator and covers a maximum limit on fixed interest rates;</w:t>
      </w:r>
    </w:p>
    <w:p w14:paraId="32E5D2B1" w14:textId="77777777" w:rsidR="00E3289C" w:rsidRDefault="00E3289C" w:rsidP="00226735">
      <w:pPr>
        <w:pStyle w:val="BodyText"/>
        <w:widowControl w:val="0"/>
        <w:numPr>
          <w:ilvl w:val="0"/>
          <w:numId w:val="7"/>
        </w:numPr>
        <w:tabs>
          <w:tab w:val="clear" w:pos="947"/>
        </w:tabs>
        <w:spacing w:after="120"/>
        <w:ind w:left="993" w:hanging="284"/>
        <w:rPr>
          <w:szCs w:val="24"/>
        </w:rPr>
      </w:pPr>
      <w:r w:rsidRPr="002F2F50">
        <w:rPr>
          <w:szCs w:val="24"/>
        </w:rPr>
        <w:t xml:space="preserve">Maturity structure of borrowing. These gross limits are set to reduce the Council’s exposure to </w:t>
      </w:r>
      <w:proofErr w:type="gramStart"/>
      <w:r w:rsidRPr="002F2F50">
        <w:rPr>
          <w:szCs w:val="24"/>
        </w:rPr>
        <w:t>large fixed</w:t>
      </w:r>
      <w:proofErr w:type="gramEnd"/>
      <w:r w:rsidRPr="002F2F50">
        <w:rPr>
          <w:szCs w:val="24"/>
        </w:rPr>
        <w:t xml:space="preserve"> rate sums falling due for </w:t>
      </w:r>
      <w:proofErr w:type="gramStart"/>
      <w:r w:rsidRPr="002F2F50">
        <w:rPr>
          <w:szCs w:val="24"/>
        </w:rPr>
        <w:t>refinancing, and</w:t>
      </w:r>
      <w:proofErr w:type="gramEnd"/>
      <w:r w:rsidRPr="002F2F50">
        <w:rPr>
          <w:szCs w:val="24"/>
        </w:rPr>
        <w:t xml:space="preserve"> are required for upper and lower limits.  The Council </w:t>
      </w:r>
      <w:proofErr w:type="gramStart"/>
      <w:r w:rsidRPr="002F2F50">
        <w:rPr>
          <w:szCs w:val="24"/>
        </w:rPr>
        <w:t>is</w:t>
      </w:r>
      <w:proofErr w:type="gramEnd"/>
      <w:r w:rsidRPr="002F2F50">
        <w:rPr>
          <w:szCs w:val="24"/>
        </w:rPr>
        <w:t xml:space="preserve"> asked to approve the following treasury indicators and limits:</w:t>
      </w:r>
    </w:p>
    <w:p w14:paraId="35D08EF1" w14:textId="77777777" w:rsidR="00E3289C" w:rsidRPr="002F2F50" w:rsidRDefault="00E3289C" w:rsidP="00E3289C">
      <w:pPr>
        <w:widowControl w:val="0"/>
        <w:ind w:left="709"/>
        <w:jc w:val="both"/>
        <w:rPr>
          <w:rFonts w:ascii="Arial" w:hAnsi="Arial" w:cs="Arial"/>
          <w:b/>
        </w:rPr>
      </w:pPr>
    </w:p>
    <w:p w14:paraId="1D0887B3" w14:textId="77777777" w:rsidR="00E3289C" w:rsidRPr="00C54635" w:rsidRDefault="00E3289C" w:rsidP="00226735">
      <w:pPr>
        <w:widowControl w:val="0"/>
        <w:ind w:left="709"/>
        <w:jc w:val="both"/>
        <w:rPr>
          <w:rFonts w:ascii="Arial" w:hAnsi="Arial" w:cs="Arial"/>
          <w:b/>
        </w:rPr>
      </w:pPr>
      <w:r w:rsidRPr="00C54635">
        <w:rPr>
          <w:rFonts w:ascii="Arial" w:hAnsi="Arial" w:cs="Arial"/>
          <w:b/>
        </w:rPr>
        <w:t xml:space="preserve">Table </w:t>
      </w:r>
      <w:r>
        <w:rPr>
          <w:rFonts w:ascii="Arial" w:hAnsi="Arial" w:cs="Arial"/>
          <w:b/>
        </w:rPr>
        <w:t>8</w:t>
      </w:r>
      <w:r w:rsidRPr="00C54635">
        <w:rPr>
          <w:rFonts w:ascii="Arial" w:hAnsi="Arial" w:cs="Arial"/>
          <w:b/>
        </w:rPr>
        <w:t xml:space="preserve"> - Interest Rate Exposure Limits</w:t>
      </w:r>
    </w:p>
    <w:p w14:paraId="6B4A90D4" w14:textId="77777777" w:rsidR="00E3289C" w:rsidRPr="00C54635" w:rsidRDefault="00E3289C" w:rsidP="00E3289C">
      <w:pPr>
        <w:widowControl w:val="0"/>
        <w:ind w:left="709"/>
        <w:jc w:val="both"/>
        <w:rPr>
          <w:rFonts w:ascii="Arial" w:hAnsi="Arial" w:cs="Arial"/>
          <w:b/>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8"/>
        <w:gridCol w:w="1800"/>
        <w:gridCol w:w="1843"/>
        <w:gridCol w:w="1842"/>
      </w:tblGrid>
      <w:tr w:rsidR="00E3289C" w:rsidRPr="00C54635" w14:paraId="12A15B7A" w14:textId="77777777" w:rsidTr="00E3289C">
        <w:trPr>
          <w:cantSplit/>
        </w:trPr>
        <w:tc>
          <w:tcPr>
            <w:tcW w:w="2878" w:type="dxa"/>
            <w:shd w:val="clear" w:color="auto" w:fill="C0C0C0"/>
          </w:tcPr>
          <w:p w14:paraId="26A2F4B3" w14:textId="77777777" w:rsidR="00E3289C" w:rsidRPr="00C54635" w:rsidRDefault="00E3289C" w:rsidP="00E3289C">
            <w:pPr>
              <w:pStyle w:val="BodyText"/>
              <w:widowControl w:val="0"/>
              <w:rPr>
                <w:b/>
                <w:bCs/>
                <w:sz w:val="22"/>
                <w:szCs w:val="22"/>
              </w:rPr>
            </w:pPr>
            <w:r w:rsidRPr="00C54635">
              <w:rPr>
                <w:b/>
                <w:bCs/>
                <w:sz w:val="22"/>
                <w:szCs w:val="22"/>
              </w:rPr>
              <w:t>Interest rate exposures</w:t>
            </w:r>
          </w:p>
        </w:tc>
        <w:tc>
          <w:tcPr>
            <w:tcW w:w="1800" w:type="dxa"/>
            <w:shd w:val="clear" w:color="auto" w:fill="C0C0C0"/>
          </w:tcPr>
          <w:p w14:paraId="54924F38" w14:textId="77777777" w:rsidR="00E3289C" w:rsidRPr="00C54635" w:rsidRDefault="00E3289C" w:rsidP="00E3289C">
            <w:pPr>
              <w:pStyle w:val="BodyText"/>
              <w:widowControl w:val="0"/>
              <w:jc w:val="center"/>
              <w:rPr>
                <w:b/>
                <w:bCs/>
                <w:sz w:val="22"/>
                <w:szCs w:val="22"/>
              </w:rPr>
            </w:pPr>
            <w:r w:rsidRPr="000D49E4">
              <w:rPr>
                <w:b/>
                <w:bCs/>
                <w:sz w:val="22"/>
                <w:szCs w:val="22"/>
              </w:rPr>
              <w:t>202</w:t>
            </w:r>
            <w:r>
              <w:rPr>
                <w:b/>
                <w:bCs/>
                <w:sz w:val="22"/>
                <w:szCs w:val="22"/>
              </w:rPr>
              <w:t>6</w:t>
            </w:r>
            <w:r w:rsidRPr="000D49E4">
              <w:rPr>
                <w:b/>
                <w:bCs/>
                <w:sz w:val="22"/>
                <w:szCs w:val="22"/>
              </w:rPr>
              <w:t>/2</w:t>
            </w:r>
            <w:r>
              <w:rPr>
                <w:b/>
                <w:bCs/>
                <w:sz w:val="22"/>
                <w:szCs w:val="22"/>
              </w:rPr>
              <w:t>7</w:t>
            </w:r>
          </w:p>
        </w:tc>
        <w:tc>
          <w:tcPr>
            <w:tcW w:w="1843" w:type="dxa"/>
            <w:shd w:val="clear" w:color="auto" w:fill="C0C0C0"/>
          </w:tcPr>
          <w:p w14:paraId="0BF5E92B" w14:textId="77777777" w:rsidR="00E3289C" w:rsidRPr="00C54635" w:rsidRDefault="00E3289C" w:rsidP="00E3289C">
            <w:pPr>
              <w:pStyle w:val="BodyText"/>
              <w:widowControl w:val="0"/>
              <w:jc w:val="center"/>
              <w:rPr>
                <w:b/>
                <w:bCs/>
                <w:sz w:val="22"/>
                <w:szCs w:val="22"/>
              </w:rPr>
            </w:pPr>
            <w:r w:rsidRPr="00C54635">
              <w:rPr>
                <w:b/>
                <w:bCs/>
                <w:sz w:val="22"/>
                <w:szCs w:val="22"/>
              </w:rPr>
              <w:t>202</w:t>
            </w:r>
            <w:r>
              <w:rPr>
                <w:b/>
                <w:bCs/>
                <w:sz w:val="22"/>
                <w:szCs w:val="22"/>
              </w:rPr>
              <w:t>7</w:t>
            </w:r>
            <w:r w:rsidRPr="00C54635">
              <w:rPr>
                <w:b/>
                <w:bCs/>
                <w:sz w:val="22"/>
                <w:szCs w:val="22"/>
              </w:rPr>
              <w:t>/2</w:t>
            </w:r>
            <w:r>
              <w:rPr>
                <w:b/>
                <w:bCs/>
                <w:sz w:val="22"/>
                <w:szCs w:val="22"/>
              </w:rPr>
              <w:t>8</w:t>
            </w:r>
          </w:p>
        </w:tc>
        <w:tc>
          <w:tcPr>
            <w:tcW w:w="1842" w:type="dxa"/>
            <w:shd w:val="clear" w:color="auto" w:fill="C0C0C0"/>
          </w:tcPr>
          <w:p w14:paraId="73FED795" w14:textId="77777777" w:rsidR="00E3289C" w:rsidRPr="00C54635" w:rsidRDefault="00E3289C" w:rsidP="00E3289C">
            <w:pPr>
              <w:pStyle w:val="BodyText"/>
              <w:widowControl w:val="0"/>
              <w:jc w:val="center"/>
              <w:rPr>
                <w:b/>
                <w:bCs/>
                <w:sz w:val="22"/>
                <w:szCs w:val="22"/>
              </w:rPr>
            </w:pPr>
            <w:r w:rsidRPr="00C54635">
              <w:rPr>
                <w:b/>
                <w:bCs/>
                <w:sz w:val="22"/>
                <w:szCs w:val="22"/>
              </w:rPr>
              <w:t>202</w:t>
            </w:r>
            <w:r>
              <w:rPr>
                <w:b/>
                <w:bCs/>
                <w:sz w:val="22"/>
                <w:szCs w:val="22"/>
              </w:rPr>
              <w:t>8</w:t>
            </w:r>
            <w:r w:rsidRPr="00C54635">
              <w:rPr>
                <w:b/>
                <w:bCs/>
                <w:sz w:val="22"/>
                <w:szCs w:val="22"/>
              </w:rPr>
              <w:t>/2</w:t>
            </w:r>
            <w:r>
              <w:rPr>
                <w:b/>
                <w:bCs/>
                <w:sz w:val="22"/>
                <w:szCs w:val="22"/>
              </w:rPr>
              <w:t>9</w:t>
            </w:r>
          </w:p>
        </w:tc>
      </w:tr>
      <w:tr w:rsidR="00E3289C" w:rsidRPr="00C54635" w14:paraId="06BEDF3B" w14:textId="77777777" w:rsidTr="00E3289C">
        <w:tc>
          <w:tcPr>
            <w:tcW w:w="2878" w:type="dxa"/>
          </w:tcPr>
          <w:p w14:paraId="533F23F9" w14:textId="77777777" w:rsidR="00E3289C" w:rsidRPr="00C54635" w:rsidRDefault="00E3289C" w:rsidP="00E3289C">
            <w:pPr>
              <w:pStyle w:val="BodyText"/>
              <w:widowControl w:val="0"/>
              <w:rPr>
                <w:b/>
                <w:bCs/>
                <w:sz w:val="22"/>
                <w:szCs w:val="22"/>
              </w:rPr>
            </w:pPr>
          </w:p>
        </w:tc>
        <w:tc>
          <w:tcPr>
            <w:tcW w:w="1800" w:type="dxa"/>
          </w:tcPr>
          <w:p w14:paraId="3853DA54" w14:textId="77777777" w:rsidR="00E3289C" w:rsidRPr="00C54635" w:rsidRDefault="00E3289C" w:rsidP="00E3289C">
            <w:pPr>
              <w:pStyle w:val="BodyText"/>
              <w:widowControl w:val="0"/>
              <w:jc w:val="center"/>
              <w:rPr>
                <w:b/>
                <w:bCs/>
                <w:sz w:val="22"/>
                <w:szCs w:val="22"/>
              </w:rPr>
            </w:pPr>
            <w:r w:rsidRPr="00C54635">
              <w:rPr>
                <w:b/>
                <w:bCs/>
                <w:sz w:val="22"/>
                <w:szCs w:val="22"/>
              </w:rPr>
              <w:t>Upper</w:t>
            </w:r>
          </w:p>
        </w:tc>
        <w:tc>
          <w:tcPr>
            <w:tcW w:w="1843" w:type="dxa"/>
          </w:tcPr>
          <w:p w14:paraId="03EB9E50" w14:textId="77777777" w:rsidR="00E3289C" w:rsidRPr="00C54635" w:rsidRDefault="00E3289C" w:rsidP="00E3289C">
            <w:pPr>
              <w:pStyle w:val="BodyText"/>
              <w:widowControl w:val="0"/>
              <w:jc w:val="center"/>
              <w:rPr>
                <w:b/>
                <w:bCs/>
                <w:sz w:val="22"/>
                <w:szCs w:val="22"/>
              </w:rPr>
            </w:pPr>
            <w:r w:rsidRPr="00C54635">
              <w:rPr>
                <w:b/>
                <w:bCs/>
                <w:sz w:val="22"/>
                <w:szCs w:val="22"/>
              </w:rPr>
              <w:t>Upper</w:t>
            </w:r>
          </w:p>
        </w:tc>
        <w:tc>
          <w:tcPr>
            <w:tcW w:w="1842" w:type="dxa"/>
          </w:tcPr>
          <w:p w14:paraId="012515B8" w14:textId="77777777" w:rsidR="00E3289C" w:rsidRPr="00C54635" w:rsidRDefault="00E3289C" w:rsidP="00E3289C">
            <w:pPr>
              <w:pStyle w:val="BodyText"/>
              <w:widowControl w:val="0"/>
              <w:jc w:val="center"/>
              <w:rPr>
                <w:b/>
                <w:bCs/>
                <w:sz w:val="22"/>
                <w:szCs w:val="22"/>
              </w:rPr>
            </w:pPr>
            <w:r w:rsidRPr="00C54635">
              <w:rPr>
                <w:b/>
                <w:bCs/>
                <w:sz w:val="22"/>
                <w:szCs w:val="22"/>
              </w:rPr>
              <w:t>Upper</w:t>
            </w:r>
          </w:p>
        </w:tc>
      </w:tr>
      <w:tr w:rsidR="00E3289C" w:rsidRPr="00C54635" w14:paraId="3FF56618" w14:textId="77777777" w:rsidTr="00E3289C">
        <w:tc>
          <w:tcPr>
            <w:tcW w:w="2878" w:type="dxa"/>
          </w:tcPr>
          <w:p w14:paraId="6386946D" w14:textId="77777777" w:rsidR="00E3289C" w:rsidRPr="00C54635" w:rsidRDefault="00E3289C" w:rsidP="00E3289C">
            <w:pPr>
              <w:pStyle w:val="BodyText"/>
              <w:widowControl w:val="0"/>
              <w:rPr>
                <w:b/>
                <w:bCs/>
                <w:sz w:val="22"/>
                <w:szCs w:val="22"/>
              </w:rPr>
            </w:pPr>
            <w:r w:rsidRPr="00C54635">
              <w:rPr>
                <w:b/>
                <w:bCs/>
                <w:sz w:val="22"/>
                <w:szCs w:val="22"/>
              </w:rPr>
              <w:t xml:space="preserve">Borrowing - Variable </w:t>
            </w:r>
          </w:p>
        </w:tc>
        <w:tc>
          <w:tcPr>
            <w:tcW w:w="1800" w:type="dxa"/>
          </w:tcPr>
          <w:p w14:paraId="3CF91591" w14:textId="77777777" w:rsidR="00E3289C" w:rsidRPr="00C54635" w:rsidRDefault="00E3289C" w:rsidP="00E3289C">
            <w:pPr>
              <w:pStyle w:val="BodyText"/>
              <w:widowControl w:val="0"/>
              <w:jc w:val="center"/>
              <w:rPr>
                <w:sz w:val="22"/>
                <w:szCs w:val="22"/>
              </w:rPr>
            </w:pPr>
            <w:r w:rsidRPr="00C54635">
              <w:rPr>
                <w:sz w:val="22"/>
                <w:szCs w:val="22"/>
              </w:rPr>
              <w:t>30%</w:t>
            </w:r>
          </w:p>
        </w:tc>
        <w:tc>
          <w:tcPr>
            <w:tcW w:w="1843" w:type="dxa"/>
          </w:tcPr>
          <w:p w14:paraId="3ABD367D" w14:textId="77777777" w:rsidR="00E3289C" w:rsidRPr="00C54635" w:rsidRDefault="00E3289C" w:rsidP="00E3289C">
            <w:pPr>
              <w:pStyle w:val="BodyText"/>
              <w:widowControl w:val="0"/>
              <w:jc w:val="center"/>
              <w:rPr>
                <w:sz w:val="22"/>
                <w:szCs w:val="22"/>
              </w:rPr>
            </w:pPr>
            <w:r w:rsidRPr="00C54635">
              <w:rPr>
                <w:sz w:val="22"/>
                <w:szCs w:val="22"/>
              </w:rPr>
              <w:t>30%</w:t>
            </w:r>
          </w:p>
        </w:tc>
        <w:tc>
          <w:tcPr>
            <w:tcW w:w="1842" w:type="dxa"/>
          </w:tcPr>
          <w:p w14:paraId="07E038F3" w14:textId="77777777" w:rsidR="00E3289C" w:rsidRPr="00C54635" w:rsidRDefault="00E3289C" w:rsidP="00E3289C">
            <w:pPr>
              <w:pStyle w:val="BodyText"/>
              <w:widowControl w:val="0"/>
              <w:jc w:val="center"/>
              <w:rPr>
                <w:sz w:val="22"/>
                <w:szCs w:val="22"/>
              </w:rPr>
            </w:pPr>
            <w:r w:rsidRPr="00C54635">
              <w:rPr>
                <w:sz w:val="22"/>
                <w:szCs w:val="22"/>
              </w:rPr>
              <w:t>30%</w:t>
            </w:r>
          </w:p>
        </w:tc>
      </w:tr>
      <w:tr w:rsidR="00E3289C" w:rsidRPr="00C54635" w14:paraId="44C5153C" w14:textId="77777777" w:rsidTr="00E3289C">
        <w:tc>
          <w:tcPr>
            <w:tcW w:w="2878" w:type="dxa"/>
          </w:tcPr>
          <w:p w14:paraId="445A79D0" w14:textId="77777777" w:rsidR="00E3289C" w:rsidRPr="00C54635" w:rsidRDefault="00E3289C" w:rsidP="00E3289C">
            <w:pPr>
              <w:pStyle w:val="BodyText"/>
              <w:widowControl w:val="0"/>
              <w:rPr>
                <w:b/>
                <w:bCs/>
                <w:sz w:val="22"/>
                <w:szCs w:val="22"/>
              </w:rPr>
            </w:pPr>
            <w:r w:rsidRPr="00C54635">
              <w:rPr>
                <w:b/>
                <w:bCs/>
                <w:sz w:val="22"/>
                <w:szCs w:val="22"/>
              </w:rPr>
              <w:t>Borrowing - Fixed</w:t>
            </w:r>
          </w:p>
        </w:tc>
        <w:tc>
          <w:tcPr>
            <w:tcW w:w="1800" w:type="dxa"/>
          </w:tcPr>
          <w:p w14:paraId="5E000B42" w14:textId="77777777" w:rsidR="00E3289C" w:rsidRPr="00C54635" w:rsidRDefault="00E3289C" w:rsidP="00E3289C">
            <w:pPr>
              <w:pStyle w:val="BodyText"/>
              <w:widowControl w:val="0"/>
              <w:jc w:val="center"/>
              <w:rPr>
                <w:sz w:val="22"/>
                <w:szCs w:val="22"/>
              </w:rPr>
            </w:pPr>
            <w:r w:rsidRPr="00C54635">
              <w:rPr>
                <w:sz w:val="22"/>
                <w:szCs w:val="22"/>
              </w:rPr>
              <w:t>100%</w:t>
            </w:r>
          </w:p>
        </w:tc>
        <w:tc>
          <w:tcPr>
            <w:tcW w:w="1843" w:type="dxa"/>
          </w:tcPr>
          <w:p w14:paraId="42BCD5FE" w14:textId="77777777" w:rsidR="00E3289C" w:rsidRPr="00C54635" w:rsidRDefault="00E3289C" w:rsidP="00E3289C">
            <w:pPr>
              <w:pStyle w:val="BodyText"/>
              <w:widowControl w:val="0"/>
              <w:jc w:val="center"/>
              <w:rPr>
                <w:sz w:val="22"/>
                <w:szCs w:val="22"/>
              </w:rPr>
            </w:pPr>
            <w:r w:rsidRPr="00C54635">
              <w:rPr>
                <w:sz w:val="22"/>
                <w:szCs w:val="22"/>
              </w:rPr>
              <w:t>100%</w:t>
            </w:r>
          </w:p>
        </w:tc>
        <w:tc>
          <w:tcPr>
            <w:tcW w:w="1842" w:type="dxa"/>
          </w:tcPr>
          <w:p w14:paraId="616A4424" w14:textId="77777777" w:rsidR="00E3289C" w:rsidRPr="00C54635" w:rsidRDefault="00E3289C" w:rsidP="00E3289C">
            <w:pPr>
              <w:pStyle w:val="BodyText"/>
              <w:widowControl w:val="0"/>
              <w:jc w:val="center"/>
              <w:rPr>
                <w:sz w:val="22"/>
                <w:szCs w:val="22"/>
              </w:rPr>
            </w:pPr>
            <w:r w:rsidRPr="00C54635">
              <w:rPr>
                <w:sz w:val="22"/>
                <w:szCs w:val="22"/>
              </w:rPr>
              <w:t>100%</w:t>
            </w:r>
          </w:p>
        </w:tc>
      </w:tr>
      <w:tr w:rsidR="00E3289C" w:rsidRPr="00C54635" w14:paraId="77C31FB6" w14:textId="77777777" w:rsidTr="00E3289C">
        <w:tc>
          <w:tcPr>
            <w:tcW w:w="2878" w:type="dxa"/>
          </w:tcPr>
          <w:p w14:paraId="57CC77D0" w14:textId="77777777" w:rsidR="00E3289C" w:rsidRPr="00C54635" w:rsidRDefault="00E3289C" w:rsidP="00E3289C">
            <w:pPr>
              <w:pStyle w:val="BodyText"/>
              <w:widowControl w:val="0"/>
              <w:rPr>
                <w:b/>
                <w:bCs/>
                <w:i/>
                <w:color w:val="0000FF"/>
                <w:sz w:val="22"/>
                <w:szCs w:val="22"/>
              </w:rPr>
            </w:pPr>
            <w:r w:rsidRPr="00C54635">
              <w:rPr>
                <w:b/>
                <w:bCs/>
                <w:sz w:val="22"/>
                <w:szCs w:val="22"/>
              </w:rPr>
              <w:t xml:space="preserve">Investments - Variable </w:t>
            </w:r>
          </w:p>
        </w:tc>
        <w:tc>
          <w:tcPr>
            <w:tcW w:w="1800" w:type="dxa"/>
          </w:tcPr>
          <w:p w14:paraId="5A1D384F" w14:textId="77777777" w:rsidR="00E3289C" w:rsidRPr="00F23A42" w:rsidRDefault="00E3289C" w:rsidP="00E3289C">
            <w:pPr>
              <w:pStyle w:val="BodyText"/>
              <w:widowControl w:val="0"/>
              <w:jc w:val="center"/>
              <w:rPr>
                <w:sz w:val="22"/>
                <w:szCs w:val="22"/>
              </w:rPr>
            </w:pPr>
            <w:r w:rsidRPr="00F23A42">
              <w:rPr>
                <w:sz w:val="22"/>
                <w:szCs w:val="22"/>
              </w:rPr>
              <w:t>100%</w:t>
            </w:r>
          </w:p>
        </w:tc>
        <w:tc>
          <w:tcPr>
            <w:tcW w:w="1843" w:type="dxa"/>
          </w:tcPr>
          <w:p w14:paraId="2E060F0F" w14:textId="77777777" w:rsidR="00E3289C" w:rsidRPr="00F23A42" w:rsidRDefault="00E3289C" w:rsidP="00E3289C">
            <w:pPr>
              <w:pStyle w:val="BodyText"/>
              <w:widowControl w:val="0"/>
              <w:jc w:val="center"/>
              <w:rPr>
                <w:sz w:val="22"/>
                <w:szCs w:val="22"/>
              </w:rPr>
            </w:pPr>
            <w:r w:rsidRPr="00F23A42">
              <w:rPr>
                <w:sz w:val="22"/>
                <w:szCs w:val="22"/>
              </w:rPr>
              <w:t>100%</w:t>
            </w:r>
          </w:p>
        </w:tc>
        <w:tc>
          <w:tcPr>
            <w:tcW w:w="1842" w:type="dxa"/>
          </w:tcPr>
          <w:p w14:paraId="397C7C8E" w14:textId="77777777" w:rsidR="00E3289C" w:rsidRPr="00F23A42" w:rsidRDefault="00E3289C" w:rsidP="00E3289C">
            <w:pPr>
              <w:pStyle w:val="BodyText"/>
              <w:widowControl w:val="0"/>
              <w:jc w:val="center"/>
              <w:rPr>
                <w:sz w:val="22"/>
                <w:szCs w:val="22"/>
              </w:rPr>
            </w:pPr>
            <w:r w:rsidRPr="00F23A42">
              <w:rPr>
                <w:sz w:val="22"/>
                <w:szCs w:val="22"/>
              </w:rPr>
              <w:t>100%</w:t>
            </w:r>
          </w:p>
        </w:tc>
      </w:tr>
      <w:tr w:rsidR="00E3289C" w:rsidRPr="00C54635" w14:paraId="61B18B3D" w14:textId="77777777" w:rsidTr="00E3289C">
        <w:tc>
          <w:tcPr>
            <w:tcW w:w="2878" w:type="dxa"/>
          </w:tcPr>
          <w:p w14:paraId="13A477F0" w14:textId="77777777" w:rsidR="00E3289C" w:rsidRPr="00C54635" w:rsidRDefault="00E3289C" w:rsidP="00E3289C">
            <w:pPr>
              <w:pStyle w:val="BodyText"/>
              <w:widowControl w:val="0"/>
              <w:rPr>
                <w:b/>
                <w:bCs/>
                <w:i/>
                <w:color w:val="0000FF"/>
                <w:sz w:val="22"/>
                <w:szCs w:val="22"/>
              </w:rPr>
            </w:pPr>
            <w:r w:rsidRPr="00C54635">
              <w:rPr>
                <w:b/>
                <w:bCs/>
                <w:sz w:val="22"/>
                <w:szCs w:val="22"/>
              </w:rPr>
              <w:t>Investments - Fixed</w:t>
            </w:r>
          </w:p>
        </w:tc>
        <w:tc>
          <w:tcPr>
            <w:tcW w:w="1800" w:type="dxa"/>
          </w:tcPr>
          <w:p w14:paraId="2799FE8B" w14:textId="77777777" w:rsidR="00E3289C" w:rsidRPr="00F23A42" w:rsidRDefault="00E3289C" w:rsidP="00E3289C">
            <w:pPr>
              <w:pStyle w:val="BodyText"/>
              <w:widowControl w:val="0"/>
              <w:jc w:val="center"/>
              <w:rPr>
                <w:sz w:val="22"/>
                <w:szCs w:val="22"/>
              </w:rPr>
            </w:pPr>
            <w:r w:rsidRPr="00F23A42">
              <w:rPr>
                <w:sz w:val="22"/>
                <w:szCs w:val="22"/>
              </w:rPr>
              <w:t>75%</w:t>
            </w:r>
          </w:p>
        </w:tc>
        <w:tc>
          <w:tcPr>
            <w:tcW w:w="1843" w:type="dxa"/>
          </w:tcPr>
          <w:p w14:paraId="59C6D17E" w14:textId="77777777" w:rsidR="00E3289C" w:rsidRPr="00F23A42" w:rsidRDefault="00E3289C" w:rsidP="00E3289C">
            <w:pPr>
              <w:pStyle w:val="BodyText"/>
              <w:widowControl w:val="0"/>
              <w:jc w:val="center"/>
              <w:rPr>
                <w:sz w:val="22"/>
                <w:szCs w:val="22"/>
              </w:rPr>
            </w:pPr>
            <w:r w:rsidRPr="00F23A42">
              <w:rPr>
                <w:sz w:val="22"/>
                <w:szCs w:val="22"/>
              </w:rPr>
              <w:t>75%</w:t>
            </w:r>
          </w:p>
        </w:tc>
        <w:tc>
          <w:tcPr>
            <w:tcW w:w="1842" w:type="dxa"/>
          </w:tcPr>
          <w:p w14:paraId="3B5FB50D" w14:textId="77777777" w:rsidR="00E3289C" w:rsidRPr="00F23A42" w:rsidRDefault="00E3289C" w:rsidP="00E3289C">
            <w:pPr>
              <w:pStyle w:val="BodyText"/>
              <w:widowControl w:val="0"/>
              <w:jc w:val="center"/>
              <w:rPr>
                <w:sz w:val="22"/>
                <w:szCs w:val="22"/>
              </w:rPr>
            </w:pPr>
            <w:r w:rsidRPr="00F23A42">
              <w:rPr>
                <w:sz w:val="22"/>
                <w:szCs w:val="22"/>
              </w:rPr>
              <w:t>75%</w:t>
            </w:r>
          </w:p>
        </w:tc>
      </w:tr>
      <w:tr w:rsidR="00E3289C" w:rsidRPr="00C54635" w14:paraId="33A93054" w14:textId="77777777" w:rsidTr="00E3289C">
        <w:trPr>
          <w:cantSplit/>
        </w:trPr>
        <w:tc>
          <w:tcPr>
            <w:tcW w:w="8363" w:type="dxa"/>
            <w:gridSpan w:val="4"/>
            <w:shd w:val="clear" w:color="auto" w:fill="C0C0C0"/>
          </w:tcPr>
          <w:p w14:paraId="733782FE" w14:textId="77777777" w:rsidR="00E3289C" w:rsidRPr="00C54635" w:rsidRDefault="00E3289C" w:rsidP="00E3289C">
            <w:pPr>
              <w:pStyle w:val="BodyText"/>
              <w:widowControl w:val="0"/>
              <w:rPr>
                <w:b/>
                <w:bCs/>
                <w:sz w:val="22"/>
                <w:szCs w:val="22"/>
              </w:rPr>
            </w:pPr>
            <w:r w:rsidRPr="00C54635">
              <w:rPr>
                <w:b/>
                <w:bCs/>
                <w:sz w:val="22"/>
                <w:szCs w:val="22"/>
              </w:rPr>
              <w:t>Maturity structure of fixed interest rate borrowing 202</w:t>
            </w:r>
            <w:r>
              <w:rPr>
                <w:b/>
                <w:bCs/>
                <w:sz w:val="22"/>
                <w:szCs w:val="22"/>
              </w:rPr>
              <w:t>6</w:t>
            </w:r>
            <w:r w:rsidRPr="00C54635">
              <w:rPr>
                <w:b/>
                <w:bCs/>
                <w:sz w:val="22"/>
                <w:szCs w:val="22"/>
              </w:rPr>
              <w:t>/2</w:t>
            </w:r>
            <w:r>
              <w:rPr>
                <w:b/>
                <w:bCs/>
                <w:sz w:val="22"/>
                <w:szCs w:val="22"/>
              </w:rPr>
              <w:t>7</w:t>
            </w:r>
          </w:p>
        </w:tc>
      </w:tr>
      <w:tr w:rsidR="00E3289C" w:rsidRPr="00C54635" w14:paraId="6419F6BD" w14:textId="77777777" w:rsidTr="00E3289C">
        <w:trPr>
          <w:cantSplit/>
        </w:trPr>
        <w:tc>
          <w:tcPr>
            <w:tcW w:w="4678" w:type="dxa"/>
            <w:gridSpan w:val="2"/>
          </w:tcPr>
          <w:p w14:paraId="7CAFC946" w14:textId="77777777" w:rsidR="00E3289C" w:rsidRPr="00C54635" w:rsidRDefault="00E3289C" w:rsidP="00E3289C">
            <w:pPr>
              <w:pStyle w:val="BodyText"/>
              <w:widowControl w:val="0"/>
              <w:rPr>
                <w:b/>
                <w:bCs/>
                <w:sz w:val="22"/>
                <w:szCs w:val="22"/>
              </w:rPr>
            </w:pPr>
          </w:p>
        </w:tc>
        <w:tc>
          <w:tcPr>
            <w:tcW w:w="1843" w:type="dxa"/>
          </w:tcPr>
          <w:p w14:paraId="7EC97C8F" w14:textId="77777777" w:rsidR="00E3289C" w:rsidRPr="00C54635" w:rsidRDefault="00E3289C" w:rsidP="00E3289C">
            <w:pPr>
              <w:pStyle w:val="BodyText"/>
              <w:widowControl w:val="0"/>
              <w:jc w:val="center"/>
              <w:rPr>
                <w:b/>
                <w:bCs/>
                <w:sz w:val="22"/>
                <w:szCs w:val="22"/>
              </w:rPr>
            </w:pPr>
            <w:r w:rsidRPr="00C54635">
              <w:rPr>
                <w:b/>
                <w:bCs/>
                <w:sz w:val="22"/>
                <w:szCs w:val="22"/>
              </w:rPr>
              <w:t>Lower</w:t>
            </w:r>
          </w:p>
        </w:tc>
        <w:tc>
          <w:tcPr>
            <w:tcW w:w="1842" w:type="dxa"/>
          </w:tcPr>
          <w:p w14:paraId="12BC7D27" w14:textId="77777777" w:rsidR="00E3289C" w:rsidRPr="00C54635" w:rsidRDefault="00E3289C" w:rsidP="00E3289C">
            <w:pPr>
              <w:pStyle w:val="BodyText"/>
              <w:widowControl w:val="0"/>
              <w:jc w:val="center"/>
              <w:rPr>
                <w:b/>
                <w:bCs/>
                <w:sz w:val="22"/>
                <w:szCs w:val="22"/>
              </w:rPr>
            </w:pPr>
            <w:r w:rsidRPr="00C54635">
              <w:rPr>
                <w:b/>
                <w:bCs/>
                <w:sz w:val="22"/>
                <w:szCs w:val="22"/>
              </w:rPr>
              <w:t>Upper</w:t>
            </w:r>
          </w:p>
        </w:tc>
      </w:tr>
      <w:tr w:rsidR="00E3289C" w:rsidRPr="00C54635" w14:paraId="63AAFABC" w14:textId="77777777" w:rsidTr="00226735">
        <w:trPr>
          <w:cantSplit/>
          <w:trHeight w:val="189"/>
        </w:trPr>
        <w:tc>
          <w:tcPr>
            <w:tcW w:w="4678" w:type="dxa"/>
            <w:gridSpan w:val="2"/>
          </w:tcPr>
          <w:p w14:paraId="531BABFE" w14:textId="77777777" w:rsidR="00E3289C" w:rsidRPr="00C54635" w:rsidRDefault="00E3289C" w:rsidP="00E3289C">
            <w:pPr>
              <w:pStyle w:val="BodyText"/>
              <w:widowControl w:val="0"/>
              <w:rPr>
                <w:sz w:val="22"/>
                <w:szCs w:val="22"/>
              </w:rPr>
            </w:pPr>
            <w:r w:rsidRPr="00C54635">
              <w:rPr>
                <w:sz w:val="22"/>
                <w:szCs w:val="22"/>
              </w:rPr>
              <w:t>Under 12 months</w:t>
            </w:r>
          </w:p>
        </w:tc>
        <w:tc>
          <w:tcPr>
            <w:tcW w:w="1843" w:type="dxa"/>
          </w:tcPr>
          <w:p w14:paraId="67A2085C" w14:textId="77777777" w:rsidR="00E3289C" w:rsidRPr="00C54635" w:rsidRDefault="00E3289C" w:rsidP="00E3289C">
            <w:pPr>
              <w:pStyle w:val="BodyText"/>
              <w:widowControl w:val="0"/>
              <w:jc w:val="center"/>
              <w:rPr>
                <w:sz w:val="22"/>
                <w:szCs w:val="22"/>
              </w:rPr>
            </w:pPr>
            <w:r w:rsidRPr="00C54635">
              <w:rPr>
                <w:sz w:val="22"/>
                <w:szCs w:val="22"/>
              </w:rPr>
              <w:t>0%</w:t>
            </w:r>
          </w:p>
        </w:tc>
        <w:tc>
          <w:tcPr>
            <w:tcW w:w="1842" w:type="dxa"/>
          </w:tcPr>
          <w:p w14:paraId="4E27B080" w14:textId="77777777" w:rsidR="00E3289C" w:rsidRPr="00C54635" w:rsidRDefault="00E3289C" w:rsidP="00E3289C">
            <w:pPr>
              <w:pStyle w:val="BodyText"/>
              <w:widowControl w:val="0"/>
              <w:jc w:val="center"/>
              <w:rPr>
                <w:sz w:val="22"/>
                <w:szCs w:val="22"/>
              </w:rPr>
            </w:pPr>
            <w:r w:rsidRPr="00C54635">
              <w:rPr>
                <w:sz w:val="22"/>
                <w:szCs w:val="22"/>
              </w:rPr>
              <w:t>100%</w:t>
            </w:r>
          </w:p>
        </w:tc>
      </w:tr>
      <w:tr w:rsidR="00E3289C" w:rsidRPr="00C54635" w14:paraId="7B4EFA88" w14:textId="77777777" w:rsidTr="00E3289C">
        <w:trPr>
          <w:cantSplit/>
        </w:trPr>
        <w:tc>
          <w:tcPr>
            <w:tcW w:w="4678" w:type="dxa"/>
            <w:gridSpan w:val="2"/>
          </w:tcPr>
          <w:p w14:paraId="3161EF24" w14:textId="77777777" w:rsidR="00E3289C" w:rsidRPr="00C54635" w:rsidRDefault="00E3289C" w:rsidP="00E3289C">
            <w:pPr>
              <w:pStyle w:val="BodyText"/>
              <w:widowControl w:val="0"/>
              <w:rPr>
                <w:sz w:val="22"/>
                <w:szCs w:val="22"/>
              </w:rPr>
            </w:pPr>
            <w:r w:rsidRPr="00C54635">
              <w:rPr>
                <w:sz w:val="22"/>
                <w:szCs w:val="22"/>
              </w:rPr>
              <w:t>12 months to 2 years</w:t>
            </w:r>
          </w:p>
        </w:tc>
        <w:tc>
          <w:tcPr>
            <w:tcW w:w="1843" w:type="dxa"/>
          </w:tcPr>
          <w:p w14:paraId="152000B0" w14:textId="77777777" w:rsidR="00E3289C" w:rsidRPr="00C54635" w:rsidRDefault="00E3289C" w:rsidP="00E3289C">
            <w:pPr>
              <w:pStyle w:val="BodyText"/>
              <w:widowControl w:val="0"/>
              <w:jc w:val="center"/>
              <w:rPr>
                <w:sz w:val="22"/>
                <w:szCs w:val="22"/>
              </w:rPr>
            </w:pPr>
            <w:r w:rsidRPr="00C54635">
              <w:rPr>
                <w:sz w:val="22"/>
                <w:szCs w:val="22"/>
              </w:rPr>
              <w:t>0%</w:t>
            </w:r>
          </w:p>
        </w:tc>
        <w:tc>
          <w:tcPr>
            <w:tcW w:w="1842" w:type="dxa"/>
          </w:tcPr>
          <w:p w14:paraId="07C713CB" w14:textId="77777777" w:rsidR="00E3289C" w:rsidRPr="00C54635" w:rsidRDefault="00E3289C" w:rsidP="00E3289C">
            <w:pPr>
              <w:pStyle w:val="BodyText"/>
              <w:widowControl w:val="0"/>
              <w:jc w:val="center"/>
              <w:rPr>
                <w:sz w:val="22"/>
                <w:szCs w:val="22"/>
              </w:rPr>
            </w:pPr>
            <w:r w:rsidRPr="00C54635">
              <w:rPr>
                <w:sz w:val="22"/>
                <w:szCs w:val="22"/>
              </w:rPr>
              <w:t>100%</w:t>
            </w:r>
          </w:p>
        </w:tc>
      </w:tr>
      <w:tr w:rsidR="00E3289C" w:rsidRPr="00C54635" w14:paraId="2582E874" w14:textId="77777777" w:rsidTr="00E3289C">
        <w:trPr>
          <w:cantSplit/>
        </w:trPr>
        <w:tc>
          <w:tcPr>
            <w:tcW w:w="4678" w:type="dxa"/>
            <w:gridSpan w:val="2"/>
          </w:tcPr>
          <w:p w14:paraId="1FEE1E8E" w14:textId="77777777" w:rsidR="00E3289C" w:rsidRPr="00C54635" w:rsidRDefault="00E3289C" w:rsidP="00E3289C">
            <w:pPr>
              <w:pStyle w:val="BodyText"/>
              <w:widowControl w:val="0"/>
              <w:rPr>
                <w:sz w:val="22"/>
                <w:szCs w:val="22"/>
              </w:rPr>
            </w:pPr>
            <w:r w:rsidRPr="00C54635">
              <w:rPr>
                <w:sz w:val="22"/>
                <w:szCs w:val="22"/>
              </w:rPr>
              <w:t>2 years to 5 years</w:t>
            </w:r>
          </w:p>
        </w:tc>
        <w:tc>
          <w:tcPr>
            <w:tcW w:w="1843" w:type="dxa"/>
          </w:tcPr>
          <w:p w14:paraId="0D16FDD6" w14:textId="77777777" w:rsidR="00E3289C" w:rsidRPr="00C54635" w:rsidRDefault="00E3289C" w:rsidP="00E3289C">
            <w:pPr>
              <w:pStyle w:val="BodyText"/>
              <w:widowControl w:val="0"/>
              <w:jc w:val="center"/>
              <w:rPr>
                <w:sz w:val="22"/>
                <w:szCs w:val="22"/>
              </w:rPr>
            </w:pPr>
            <w:r w:rsidRPr="00C54635">
              <w:rPr>
                <w:sz w:val="22"/>
                <w:szCs w:val="22"/>
              </w:rPr>
              <w:t>0%</w:t>
            </w:r>
          </w:p>
        </w:tc>
        <w:tc>
          <w:tcPr>
            <w:tcW w:w="1842" w:type="dxa"/>
          </w:tcPr>
          <w:p w14:paraId="4614C2D3" w14:textId="77777777" w:rsidR="00E3289C" w:rsidRPr="00C54635" w:rsidRDefault="00E3289C" w:rsidP="00E3289C">
            <w:pPr>
              <w:pStyle w:val="BodyText"/>
              <w:widowControl w:val="0"/>
              <w:jc w:val="center"/>
              <w:rPr>
                <w:sz w:val="22"/>
                <w:szCs w:val="22"/>
              </w:rPr>
            </w:pPr>
            <w:r w:rsidRPr="00C54635">
              <w:rPr>
                <w:sz w:val="22"/>
                <w:szCs w:val="22"/>
              </w:rPr>
              <w:t>100%</w:t>
            </w:r>
          </w:p>
        </w:tc>
      </w:tr>
      <w:tr w:rsidR="00E3289C" w:rsidRPr="00C54635" w14:paraId="565C3E1E" w14:textId="77777777" w:rsidTr="00E3289C">
        <w:trPr>
          <w:cantSplit/>
        </w:trPr>
        <w:tc>
          <w:tcPr>
            <w:tcW w:w="4678" w:type="dxa"/>
            <w:gridSpan w:val="2"/>
          </w:tcPr>
          <w:p w14:paraId="2A1C6EC7" w14:textId="77777777" w:rsidR="00E3289C" w:rsidRPr="00C54635" w:rsidRDefault="00E3289C" w:rsidP="00E3289C">
            <w:pPr>
              <w:pStyle w:val="BodyText"/>
              <w:widowControl w:val="0"/>
              <w:rPr>
                <w:sz w:val="22"/>
                <w:szCs w:val="22"/>
              </w:rPr>
            </w:pPr>
            <w:r w:rsidRPr="00C54635">
              <w:rPr>
                <w:sz w:val="22"/>
                <w:szCs w:val="22"/>
              </w:rPr>
              <w:t>5 years to 10 years</w:t>
            </w:r>
          </w:p>
        </w:tc>
        <w:tc>
          <w:tcPr>
            <w:tcW w:w="1843" w:type="dxa"/>
          </w:tcPr>
          <w:p w14:paraId="1FD28A75" w14:textId="77777777" w:rsidR="00E3289C" w:rsidRPr="00C54635" w:rsidRDefault="00E3289C" w:rsidP="00E3289C">
            <w:pPr>
              <w:pStyle w:val="BodyText"/>
              <w:widowControl w:val="0"/>
              <w:jc w:val="center"/>
              <w:rPr>
                <w:sz w:val="22"/>
                <w:szCs w:val="22"/>
              </w:rPr>
            </w:pPr>
            <w:r w:rsidRPr="00C54635">
              <w:rPr>
                <w:sz w:val="22"/>
                <w:szCs w:val="22"/>
              </w:rPr>
              <w:t>0%</w:t>
            </w:r>
          </w:p>
        </w:tc>
        <w:tc>
          <w:tcPr>
            <w:tcW w:w="1842" w:type="dxa"/>
          </w:tcPr>
          <w:p w14:paraId="6B166CE3" w14:textId="77777777" w:rsidR="00E3289C" w:rsidRPr="00C54635" w:rsidRDefault="00E3289C" w:rsidP="00E3289C">
            <w:pPr>
              <w:pStyle w:val="BodyText"/>
              <w:widowControl w:val="0"/>
              <w:jc w:val="center"/>
              <w:rPr>
                <w:sz w:val="22"/>
                <w:szCs w:val="22"/>
              </w:rPr>
            </w:pPr>
            <w:r w:rsidRPr="00C54635">
              <w:rPr>
                <w:sz w:val="22"/>
                <w:szCs w:val="22"/>
              </w:rPr>
              <w:t>100%</w:t>
            </w:r>
          </w:p>
        </w:tc>
      </w:tr>
      <w:tr w:rsidR="00E3289C" w:rsidRPr="00C54635" w14:paraId="54799CF6" w14:textId="77777777" w:rsidTr="00E3289C">
        <w:trPr>
          <w:cantSplit/>
        </w:trPr>
        <w:tc>
          <w:tcPr>
            <w:tcW w:w="4678" w:type="dxa"/>
            <w:gridSpan w:val="2"/>
          </w:tcPr>
          <w:p w14:paraId="2BC7F644" w14:textId="77777777" w:rsidR="00E3289C" w:rsidRPr="00C54635" w:rsidRDefault="00E3289C" w:rsidP="00E3289C">
            <w:pPr>
              <w:pStyle w:val="BodyText"/>
              <w:widowControl w:val="0"/>
              <w:rPr>
                <w:sz w:val="22"/>
                <w:szCs w:val="22"/>
              </w:rPr>
            </w:pPr>
            <w:r w:rsidRPr="00C54635">
              <w:rPr>
                <w:sz w:val="22"/>
                <w:szCs w:val="22"/>
              </w:rPr>
              <w:t>10 years and above</w:t>
            </w:r>
          </w:p>
        </w:tc>
        <w:tc>
          <w:tcPr>
            <w:tcW w:w="1843" w:type="dxa"/>
          </w:tcPr>
          <w:p w14:paraId="313F61BA" w14:textId="77777777" w:rsidR="00E3289C" w:rsidRPr="00C54635" w:rsidRDefault="00E3289C" w:rsidP="00E3289C">
            <w:pPr>
              <w:pStyle w:val="BodyText"/>
              <w:widowControl w:val="0"/>
              <w:jc w:val="center"/>
              <w:rPr>
                <w:sz w:val="22"/>
                <w:szCs w:val="22"/>
              </w:rPr>
            </w:pPr>
            <w:r w:rsidRPr="00C54635">
              <w:rPr>
                <w:sz w:val="22"/>
                <w:szCs w:val="22"/>
              </w:rPr>
              <w:t>0%</w:t>
            </w:r>
          </w:p>
        </w:tc>
        <w:tc>
          <w:tcPr>
            <w:tcW w:w="1842" w:type="dxa"/>
          </w:tcPr>
          <w:p w14:paraId="6794D9EF" w14:textId="77777777" w:rsidR="00E3289C" w:rsidRPr="00C54635" w:rsidRDefault="00E3289C" w:rsidP="00E3289C">
            <w:pPr>
              <w:pStyle w:val="BodyText"/>
              <w:widowControl w:val="0"/>
              <w:jc w:val="center"/>
              <w:rPr>
                <w:sz w:val="22"/>
                <w:szCs w:val="22"/>
              </w:rPr>
            </w:pPr>
            <w:r w:rsidRPr="00C54635">
              <w:rPr>
                <w:sz w:val="22"/>
                <w:szCs w:val="22"/>
              </w:rPr>
              <w:t>100%</w:t>
            </w:r>
          </w:p>
        </w:tc>
      </w:tr>
      <w:tr w:rsidR="00E3289C" w:rsidRPr="00C54635" w14:paraId="5BDC0699" w14:textId="77777777" w:rsidTr="00E3289C">
        <w:trPr>
          <w:cantSplit/>
        </w:trPr>
        <w:tc>
          <w:tcPr>
            <w:tcW w:w="8363" w:type="dxa"/>
            <w:gridSpan w:val="4"/>
            <w:shd w:val="clear" w:color="auto" w:fill="C0C0C0"/>
          </w:tcPr>
          <w:p w14:paraId="58875BDD" w14:textId="77777777" w:rsidR="00E3289C" w:rsidRPr="00C54635" w:rsidRDefault="00E3289C" w:rsidP="00E3289C">
            <w:pPr>
              <w:pStyle w:val="BodyText"/>
              <w:widowControl w:val="0"/>
              <w:rPr>
                <w:b/>
                <w:bCs/>
                <w:sz w:val="22"/>
                <w:szCs w:val="22"/>
              </w:rPr>
            </w:pPr>
            <w:r w:rsidRPr="00C54635">
              <w:rPr>
                <w:b/>
                <w:bCs/>
                <w:sz w:val="22"/>
                <w:szCs w:val="22"/>
              </w:rPr>
              <w:t>Maturity structure of variable interest rate borrowing 202</w:t>
            </w:r>
            <w:r>
              <w:rPr>
                <w:b/>
                <w:bCs/>
                <w:sz w:val="22"/>
                <w:szCs w:val="22"/>
              </w:rPr>
              <w:t>6</w:t>
            </w:r>
            <w:r w:rsidRPr="00C54635">
              <w:rPr>
                <w:b/>
                <w:bCs/>
                <w:sz w:val="22"/>
                <w:szCs w:val="22"/>
              </w:rPr>
              <w:t>/2</w:t>
            </w:r>
            <w:r>
              <w:rPr>
                <w:b/>
                <w:bCs/>
                <w:sz w:val="22"/>
                <w:szCs w:val="22"/>
              </w:rPr>
              <w:t>7</w:t>
            </w:r>
          </w:p>
        </w:tc>
      </w:tr>
      <w:tr w:rsidR="00E3289C" w:rsidRPr="00C54635" w14:paraId="6B6E1C3D" w14:textId="77777777" w:rsidTr="00E3289C">
        <w:trPr>
          <w:cantSplit/>
        </w:trPr>
        <w:tc>
          <w:tcPr>
            <w:tcW w:w="4678" w:type="dxa"/>
            <w:gridSpan w:val="2"/>
          </w:tcPr>
          <w:p w14:paraId="22F60934" w14:textId="77777777" w:rsidR="00E3289C" w:rsidRPr="00C54635" w:rsidRDefault="00E3289C" w:rsidP="00E3289C">
            <w:pPr>
              <w:pStyle w:val="BodyText"/>
              <w:widowControl w:val="0"/>
              <w:rPr>
                <w:b/>
                <w:bCs/>
                <w:i/>
                <w:color w:val="0000FF"/>
                <w:sz w:val="22"/>
                <w:szCs w:val="22"/>
              </w:rPr>
            </w:pPr>
          </w:p>
        </w:tc>
        <w:tc>
          <w:tcPr>
            <w:tcW w:w="1843" w:type="dxa"/>
          </w:tcPr>
          <w:p w14:paraId="53CBDFC3" w14:textId="77777777" w:rsidR="00E3289C" w:rsidRPr="00C54635" w:rsidRDefault="00E3289C" w:rsidP="00E3289C">
            <w:pPr>
              <w:pStyle w:val="BodyText"/>
              <w:widowControl w:val="0"/>
              <w:jc w:val="center"/>
              <w:rPr>
                <w:b/>
                <w:sz w:val="22"/>
                <w:szCs w:val="22"/>
              </w:rPr>
            </w:pPr>
            <w:r w:rsidRPr="00C54635">
              <w:rPr>
                <w:b/>
                <w:sz w:val="22"/>
                <w:szCs w:val="22"/>
              </w:rPr>
              <w:t>Lower</w:t>
            </w:r>
          </w:p>
        </w:tc>
        <w:tc>
          <w:tcPr>
            <w:tcW w:w="1842" w:type="dxa"/>
          </w:tcPr>
          <w:p w14:paraId="4F542DCE" w14:textId="77777777" w:rsidR="00E3289C" w:rsidRPr="00C54635" w:rsidRDefault="00E3289C" w:rsidP="00E3289C">
            <w:pPr>
              <w:pStyle w:val="BodyText"/>
              <w:widowControl w:val="0"/>
              <w:jc w:val="center"/>
              <w:rPr>
                <w:b/>
                <w:sz w:val="22"/>
                <w:szCs w:val="22"/>
              </w:rPr>
            </w:pPr>
            <w:r w:rsidRPr="00C54635">
              <w:rPr>
                <w:b/>
                <w:sz w:val="22"/>
                <w:szCs w:val="22"/>
              </w:rPr>
              <w:t>Upper</w:t>
            </w:r>
          </w:p>
        </w:tc>
      </w:tr>
      <w:tr w:rsidR="00E3289C" w:rsidRPr="00C54635" w14:paraId="774D40B9" w14:textId="77777777" w:rsidTr="00E3289C">
        <w:trPr>
          <w:cantSplit/>
          <w:trHeight w:val="331"/>
        </w:trPr>
        <w:tc>
          <w:tcPr>
            <w:tcW w:w="4678" w:type="dxa"/>
            <w:gridSpan w:val="2"/>
          </w:tcPr>
          <w:p w14:paraId="7A3E3948" w14:textId="77777777" w:rsidR="00E3289C" w:rsidRPr="00C54635" w:rsidRDefault="00E3289C" w:rsidP="00E3289C">
            <w:pPr>
              <w:pStyle w:val="BodyText"/>
              <w:widowControl w:val="0"/>
              <w:rPr>
                <w:sz w:val="22"/>
                <w:szCs w:val="22"/>
              </w:rPr>
            </w:pPr>
            <w:r w:rsidRPr="00C54635">
              <w:rPr>
                <w:sz w:val="22"/>
                <w:szCs w:val="22"/>
              </w:rPr>
              <w:t>Under 12 months</w:t>
            </w:r>
          </w:p>
        </w:tc>
        <w:tc>
          <w:tcPr>
            <w:tcW w:w="1843" w:type="dxa"/>
          </w:tcPr>
          <w:p w14:paraId="4028795D" w14:textId="77777777" w:rsidR="00E3289C" w:rsidRPr="00C54635" w:rsidRDefault="00E3289C" w:rsidP="00E3289C">
            <w:pPr>
              <w:pStyle w:val="BodyText"/>
              <w:widowControl w:val="0"/>
              <w:jc w:val="center"/>
              <w:rPr>
                <w:sz w:val="22"/>
                <w:szCs w:val="22"/>
              </w:rPr>
            </w:pPr>
            <w:r w:rsidRPr="00C54635">
              <w:rPr>
                <w:sz w:val="22"/>
                <w:szCs w:val="22"/>
              </w:rPr>
              <w:t>0%</w:t>
            </w:r>
          </w:p>
        </w:tc>
        <w:tc>
          <w:tcPr>
            <w:tcW w:w="1842" w:type="dxa"/>
          </w:tcPr>
          <w:p w14:paraId="6BC4C883" w14:textId="77777777" w:rsidR="00E3289C" w:rsidRPr="00C54635" w:rsidRDefault="00E3289C" w:rsidP="00E3289C">
            <w:pPr>
              <w:pStyle w:val="BodyText"/>
              <w:widowControl w:val="0"/>
              <w:jc w:val="center"/>
              <w:rPr>
                <w:i/>
                <w:color w:val="0000FF"/>
                <w:sz w:val="22"/>
                <w:szCs w:val="22"/>
              </w:rPr>
            </w:pPr>
            <w:r w:rsidRPr="00C54635">
              <w:rPr>
                <w:sz w:val="22"/>
                <w:szCs w:val="22"/>
              </w:rPr>
              <w:t>100%</w:t>
            </w:r>
          </w:p>
        </w:tc>
      </w:tr>
      <w:tr w:rsidR="00E3289C" w:rsidRPr="00C54635" w14:paraId="18D7793B" w14:textId="77777777" w:rsidTr="00E3289C">
        <w:trPr>
          <w:cantSplit/>
        </w:trPr>
        <w:tc>
          <w:tcPr>
            <w:tcW w:w="4678" w:type="dxa"/>
            <w:gridSpan w:val="2"/>
          </w:tcPr>
          <w:p w14:paraId="69B8F237" w14:textId="77777777" w:rsidR="00E3289C" w:rsidRPr="00C54635" w:rsidRDefault="00E3289C" w:rsidP="00E3289C">
            <w:pPr>
              <w:pStyle w:val="BodyText"/>
              <w:widowControl w:val="0"/>
              <w:rPr>
                <w:sz w:val="22"/>
                <w:szCs w:val="22"/>
              </w:rPr>
            </w:pPr>
            <w:r w:rsidRPr="00C54635">
              <w:rPr>
                <w:sz w:val="22"/>
                <w:szCs w:val="22"/>
              </w:rPr>
              <w:t>12 months to 2 years</w:t>
            </w:r>
          </w:p>
        </w:tc>
        <w:tc>
          <w:tcPr>
            <w:tcW w:w="1843" w:type="dxa"/>
          </w:tcPr>
          <w:p w14:paraId="77310F4E" w14:textId="77777777" w:rsidR="00E3289C" w:rsidRPr="00C54635" w:rsidRDefault="00E3289C" w:rsidP="00E3289C">
            <w:pPr>
              <w:pStyle w:val="BodyText"/>
              <w:widowControl w:val="0"/>
              <w:jc w:val="center"/>
              <w:rPr>
                <w:sz w:val="22"/>
                <w:szCs w:val="22"/>
              </w:rPr>
            </w:pPr>
            <w:r w:rsidRPr="00C54635">
              <w:rPr>
                <w:sz w:val="22"/>
                <w:szCs w:val="22"/>
              </w:rPr>
              <w:t>0%</w:t>
            </w:r>
          </w:p>
        </w:tc>
        <w:tc>
          <w:tcPr>
            <w:tcW w:w="1842" w:type="dxa"/>
          </w:tcPr>
          <w:p w14:paraId="30250FAF" w14:textId="77777777" w:rsidR="00E3289C" w:rsidRPr="00C54635" w:rsidRDefault="00E3289C" w:rsidP="00E3289C">
            <w:pPr>
              <w:pStyle w:val="BodyText"/>
              <w:widowControl w:val="0"/>
              <w:jc w:val="center"/>
              <w:rPr>
                <w:i/>
                <w:color w:val="0000FF"/>
                <w:sz w:val="22"/>
                <w:szCs w:val="22"/>
              </w:rPr>
            </w:pPr>
            <w:r w:rsidRPr="00C54635">
              <w:rPr>
                <w:sz w:val="22"/>
                <w:szCs w:val="22"/>
              </w:rPr>
              <w:t>100%</w:t>
            </w:r>
          </w:p>
        </w:tc>
      </w:tr>
      <w:tr w:rsidR="00E3289C" w:rsidRPr="00C54635" w14:paraId="0309A04C" w14:textId="77777777" w:rsidTr="00E3289C">
        <w:trPr>
          <w:cantSplit/>
        </w:trPr>
        <w:tc>
          <w:tcPr>
            <w:tcW w:w="4678" w:type="dxa"/>
            <w:gridSpan w:val="2"/>
          </w:tcPr>
          <w:p w14:paraId="1D5278F2" w14:textId="77777777" w:rsidR="00E3289C" w:rsidRPr="00C54635" w:rsidRDefault="00E3289C" w:rsidP="00E3289C">
            <w:pPr>
              <w:pStyle w:val="BodyText"/>
              <w:widowControl w:val="0"/>
              <w:rPr>
                <w:sz w:val="22"/>
                <w:szCs w:val="22"/>
              </w:rPr>
            </w:pPr>
            <w:r w:rsidRPr="00C54635">
              <w:rPr>
                <w:sz w:val="22"/>
                <w:szCs w:val="22"/>
              </w:rPr>
              <w:t>2 years to 5 years</w:t>
            </w:r>
          </w:p>
        </w:tc>
        <w:tc>
          <w:tcPr>
            <w:tcW w:w="1843" w:type="dxa"/>
          </w:tcPr>
          <w:p w14:paraId="7FF68B57" w14:textId="77777777" w:rsidR="00E3289C" w:rsidRPr="00C54635" w:rsidRDefault="00E3289C" w:rsidP="00E3289C">
            <w:pPr>
              <w:pStyle w:val="BodyText"/>
              <w:widowControl w:val="0"/>
              <w:jc w:val="center"/>
              <w:rPr>
                <w:sz w:val="22"/>
                <w:szCs w:val="22"/>
              </w:rPr>
            </w:pPr>
            <w:r w:rsidRPr="00C54635">
              <w:rPr>
                <w:sz w:val="22"/>
                <w:szCs w:val="22"/>
              </w:rPr>
              <w:t>0%</w:t>
            </w:r>
          </w:p>
        </w:tc>
        <w:tc>
          <w:tcPr>
            <w:tcW w:w="1842" w:type="dxa"/>
          </w:tcPr>
          <w:p w14:paraId="304C87FC" w14:textId="77777777" w:rsidR="00E3289C" w:rsidRPr="00C54635" w:rsidRDefault="00E3289C" w:rsidP="00E3289C">
            <w:pPr>
              <w:pStyle w:val="BodyText"/>
              <w:widowControl w:val="0"/>
              <w:jc w:val="center"/>
              <w:rPr>
                <w:i/>
                <w:color w:val="0000FF"/>
                <w:sz w:val="22"/>
                <w:szCs w:val="22"/>
              </w:rPr>
            </w:pPr>
            <w:r w:rsidRPr="00C54635">
              <w:rPr>
                <w:sz w:val="22"/>
                <w:szCs w:val="22"/>
              </w:rPr>
              <w:t>100%</w:t>
            </w:r>
          </w:p>
        </w:tc>
      </w:tr>
      <w:tr w:rsidR="00E3289C" w:rsidRPr="00C54635" w14:paraId="3B6E38F8" w14:textId="77777777" w:rsidTr="00E3289C">
        <w:trPr>
          <w:cantSplit/>
        </w:trPr>
        <w:tc>
          <w:tcPr>
            <w:tcW w:w="4678" w:type="dxa"/>
            <w:gridSpan w:val="2"/>
          </w:tcPr>
          <w:p w14:paraId="23573D9B" w14:textId="77777777" w:rsidR="00E3289C" w:rsidRPr="00C54635" w:rsidRDefault="00E3289C" w:rsidP="00E3289C">
            <w:pPr>
              <w:pStyle w:val="BodyText"/>
              <w:widowControl w:val="0"/>
              <w:rPr>
                <w:sz w:val="22"/>
                <w:szCs w:val="22"/>
              </w:rPr>
            </w:pPr>
            <w:r w:rsidRPr="00C54635">
              <w:rPr>
                <w:sz w:val="22"/>
                <w:szCs w:val="22"/>
              </w:rPr>
              <w:t>5 years to 10 years</w:t>
            </w:r>
          </w:p>
        </w:tc>
        <w:tc>
          <w:tcPr>
            <w:tcW w:w="1843" w:type="dxa"/>
          </w:tcPr>
          <w:p w14:paraId="64E32D6A" w14:textId="77777777" w:rsidR="00E3289C" w:rsidRPr="00C54635" w:rsidRDefault="00E3289C" w:rsidP="00E3289C">
            <w:pPr>
              <w:pStyle w:val="BodyText"/>
              <w:widowControl w:val="0"/>
              <w:jc w:val="center"/>
              <w:rPr>
                <w:sz w:val="22"/>
                <w:szCs w:val="22"/>
              </w:rPr>
            </w:pPr>
            <w:r w:rsidRPr="00C54635">
              <w:rPr>
                <w:sz w:val="22"/>
                <w:szCs w:val="22"/>
              </w:rPr>
              <w:t>0%</w:t>
            </w:r>
          </w:p>
        </w:tc>
        <w:tc>
          <w:tcPr>
            <w:tcW w:w="1842" w:type="dxa"/>
          </w:tcPr>
          <w:p w14:paraId="7A521EA2" w14:textId="77777777" w:rsidR="00E3289C" w:rsidRPr="00C54635" w:rsidRDefault="00E3289C" w:rsidP="00E3289C">
            <w:pPr>
              <w:pStyle w:val="BodyText"/>
              <w:widowControl w:val="0"/>
              <w:jc w:val="center"/>
              <w:rPr>
                <w:i/>
                <w:color w:val="0000FF"/>
                <w:sz w:val="22"/>
                <w:szCs w:val="22"/>
              </w:rPr>
            </w:pPr>
            <w:r w:rsidRPr="00C54635">
              <w:rPr>
                <w:sz w:val="22"/>
                <w:szCs w:val="22"/>
              </w:rPr>
              <w:t>100%</w:t>
            </w:r>
          </w:p>
        </w:tc>
      </w:tr>
      <w:tr w:rsidR="00E3289C" w:rsidRPr="00C54635" w14:paraId="16A61D35" w14:textId="77777777" w:rsidTr="00E3289C">
        <w:trPr>
          <w:cantSplit/>
        </w:trPr>
        <w:tc>
          <w:tcPr>
            <w:tcW w:w="4678" w:type="dxa"/>
            <w:gridSpan w:val="2"/>
          </w:tcPr>
          <w:p w14:paraId="0E8C4F59" w14:textId="77777777" w:rsidR="00E3289C" w:rsidRPr="00C54635" w:rsidRDefault="00E3289C" w:rsidP="00E3289C">
            <w:pPr>
              <w:pStyle w:val="BodyText"/>
              <w:widowControl w:val="0"/>
              <w:rPr>
                <w:sz w:val="22"/>
                <w:szCs w:val="22"/>
              </w:rPr>
            </w:pPr>
            <w:r w:rsidRPr="00C54635">
              <w:rPr>
                <w:sz w:val="22"/>
                <w:szCs w:val="22"/>
              </w:rPr>
              <w:t>10 years and above</w:t>
            </w:r>
          </w:p>
        </w:tc>
        <w:tc>
          <w:tcPr>
            <w:tcW w:w="1843" w:type="dxa"/>
          </w:tcPr>
          <w:p w14:paraId="37CCC739" w14:textId="77777777" w:rsidR="00E3289C" w:rsidRPr="00C54635" w:rsidRDefault="00E3289C" w:rsidP="00E3289C">
            <w:pPr>
              <w:pStyle w:val="BodyText"/>
              <w:widowControl w:val="0"/>
              <w:jc w:val="center"/>
              <w:rPr>
                <w:sz w:val="22"/>
                <w:szCs w:val="22"/>
              </w:rPr>
            </w:pPr>
            <w:r w:rsidRPr="00C54635">
              <w:rPr>
                <w:sz w:val="22"/>
                <w:szCs w:val="22"/>
              </w:rPr>
              <w:t>0%</w:t>
            </w:r>
          </w:p>
        </w:tc>
        <w:tc>
          <w:tcPr>
            <w:tcW w:w="1842" w:type="dxa"/>
          </w:tcPr>
          <w:p w14:paraId="4603B0E5" w14:textId="77777777" w:rsidR="00E3289C" w:rsidRPr="00C54635" w:rsidRDefault="00E3289C" w:rsidP="00E3289C">
            <w:pPr>
              <w:pStyle w:val="BodyText"/>
              <w:widowControl w:val="0"/>
              <w:jc w:val="center"/>
              <w:rPr>
                <w:i/>
                <w:color w:val="0000FF"/>
                <w:sz w:val="22"/>
                <w:szCs w:val="22"/>
              </w:rPr>
            </w:pPr>
            <w:r w:rsidRPr="00C54635">
              <w:rPr>
                <w:sz w:val="22"/>
                <w:szCs w:val="22"/>
              </w:rPr>
              <w:t>100%</w:t>
            </w:r>
          </w:p>
        </w:tc>
      </w:tr>
    </w:tbl>
    <w:p w14:paraId="7DBB2FD3" w14:textId="77777777" w:rsidR="00E3289C" w:rsidRDefault="00E3289C" w:rsidP="00E3289C">
      <w:pPr>
        <w:rPr>
          <w:rFonts w:ascii="Arial" w:hAnsi="Arial" w:cs="Arial"/>
          <w:b/>
        </w:rPr>
      </w:pPr>
      <w:bookmarkStart w:id="7" w:name="_Toc465084315"/>
      <w:bookmarkStart w:id="8" w:name="_Toc339459880"/>
    </w:p>
    <w:p w14:paraId="0B326371" w14:textId="77777777" w:rsidR="004607AA" w:rsidRDefault="00E3289C" w:rsidP="00226735">
      <w:pPr>
        <w:pStyle w:val="ListParagraph"/>
        <w:keepNext/>
        <w:numPr>
          <w:ilvl w:val="1"/>
          <w:numId w:val="32"/>
        </w:numPr>
        <w:ind w:left="527"/>
        <w:rPr>
          <w:rFonts w:ascii="Arial" w:hAnsi="Arial" w:cs="Arial"/>
          <w:b/>
        </w:rPr>
      </w:pPr>
      <w:r w:rsidRPr="004607AA">
        <w:rPr>
          <w:rFonts w:ascii="Arial" w:hAnsi="Arial" w:cs="Arial"/>
          <w:b/>
        </w:rPr>
        <w:lastRenderedPageBreak/>
        <w:t>Prospects for interest rates</w:t>
      </w:r>
      <w:bookmarkEnd w:id="7"/>
    </w:p>
    <w:p w14:paraId="382CC3F8" w14:textId="77777777" w:rsidR="004607AA" w:rsidRDefault="004607AA" w:rsidP="00226735">
      <w:pPr>
        <w:pStyle w:val="ListParagraph"/>
        <w:keepNext/>
        <w:ind w:left="527"/>
        <w:rPr>
          <w:rFonts w:ascii="Arial" w:hAnsi="Arial" w:cs="Arial"/>
        </w:rPr>
      </w:pPr>
    </w:p>
    <w:p w14:paraId="580EBDAC" w14:textId="2FC46B37" w:rsidR="00E3289C" w:rsidRPr="004607AA" w:rsidRDefault="00E3289C" w:rsidP="00226735">
      <w:pPr>
        <w:pStyle w:val="ListParagraph"/>
        <w:numPr>
          <w:ilvl w:val="2"/>
          <w:numId w:val="32"/>
        </w:numPr>
        <w:jc w:val="both"/>
        <w:rPr>
          <w:rFonts w:ascii="Arial" w:hAnsi="Arial" w:cs="Arial"/>
        </w:rPr>
      </w:pPr>
      <w:r w:rsidRPr="004607AA">
        <w:rPr>
          <w:rFonts w:ascii="Arial" w:hAnsi="Arial" w:cs="Arial"/>
        </w:rPr>
        <w:t>The Authority has appointed MUFG Corporate Markets as its treasury advisor and part of their service is to assist the Authority to formulate a view on interest rates. MUFG Corporate Markets provided the following forecasts on 22 December 2025. These are forecasts for Bank Rate, average earnings and PWLB certainty rates, gilt yields plus 80 bps</w:t>
      </w:r>
    </w:p>
    <w:p w14:paraId="488F437B" w14:textId="77777777" w:rsidR="00E3289C" w:rsidRDefault="00E3289C" w:rsidP="00E3289C">
      <w:pPr>
        <w:keepNext/>
        <w:widowControl w:val="0"/>
        <w:ind w:left="709"/>
        <w:jc w:val="both"/>
        <w:rPr>
          <w:rFonts w:ascii="Arial" w:hAnsi="Arial" w:cs="Arial"/>
        </w:rPr>
      </w:pPr>
    </w:p>
    <w:p w14:paraId="3B1C90EA" w14:textId="77777777" w:rsidR="00E3289C" w:rsidRPr="002F2F50" w:rsidRDefault="00E3289C" w:rsidP="00226735">
      <w:pPr>
        <w:keepNext/>
        <w:widowControl w:val="0"/>
        <w:ind w:left="709"/>
        <w:jc w:val="both"/>
        <w:rPr>
          <w:rFonts w:ascii="Arial" w:hAnsi="Arial" w:cs="Arial"/>
        </w:rPr>
      </w:pPr>
      <w:r w:rsidRPr="00DF365C">
        <w:rPr>
          <w:rFonts w:eastAsia="Calibri"/>
          <w:noProof/>
          <w:highlight w:val="yellow"/>
          <w:lang w:eastAsia="en-GB"/>
        </w:rPr>
        <w:drawing>
          <wp:inline distT="0" distB="0" distL="0" distR="0" wp14:anchorId="76D5F652" wp14:editId="0957AD8A">
            <wp:extent cx="5295900" cy="1098550"/>
            <wp:effectExtent l="0" t="0" r="0" b="6350"/>
            <wp:docPr id="435936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5900" cy="1098550"/>
                    </a:xfrm>
                    <a:prstGeom prst="rect">
                      <a:avLst/>
                    </a:prstGeom>
                    <a:noFill/>
                    <a:ln>
                      <a:noFill/>
                    </a:ln>
                  </pic:spPr>
                </pic:pic>
              </a:graphicData>
            </a:graphic>
          </wp:inline>
        </w:drawing>
      </w:r>
    </w:p>
    <w:p w14:paraId="51F02292" w14:textId="77777777" w:rsidR="00E3289C" w:rsidRPr="005C435D" w:rsidRDefault="00E3289C" w:rsidP="00E3289C">
      <w:pPr>
        <w:keepNext/>
        <w:widowControl w:val="0"/>
        <w:jc w:val="both"/>
        <w:rPr>
          <w:rFonts w:ascii="Arial" w:hAnsi="Arial" w:cs="Arial"/>
          <w:noProof/>
          <w:highlight w:val="yellow"/>
          <w:lang w:val="en-AU"/>
        </w:rPr>
      </w:pPr>
    </w:p>
    <w:p w14:paraId="046B1269" w14:textId="77777777" w:rsidR="00E3289C" w:rsidRPr="00886380" w:rsidRDefault="00E3289C" w:rsidP="00226735">
      <w:pPr>
        <w:pStyle w:val="ListParagraph"/>
        <w:numPr>
          <w:ilvl w:val="2"/>
          <w:numId w:val="32"/>
        </w:numPr>
        <w:spacing w:before="120" w:after="120"/>
        <w:ind w:left="709" w:hanging="709"/>
        <w:jc w:val="both"/>
        <w:rPr>
          <w:rFonts w:ascii="Arial" w:hAnsi="Arial" w:cs="Arial"/>
        </w:rPr>
      </w:pPr>
      <w:r>
        <w:rPr>
          <w:rFonts w:ascii="Arial" w:hAnsi="Arial" w:cs="Arial"/>
        </w:rPr>
        <w:t>A</w:t>
      </w:r>
      <w:r w:rsidRPr="00886380">
        <w:rPr>
          <w:rFonts w:ascii="Arial" w:hAnsi="Arial" w:cs="Arial"/>
        </w:rPr>
        <w:t xml:space="preserve"> combination of tepid growth (0.2% q/q GDP for Q2 and 0.1% q/q GDP for Q3), falling inflation (currently CPI is 3.2%), and a November Budget that will place more pressure on the majority of households’ income, has provided an opportunity for the Bank of England’s Monetary Policy Committee to further reduce Bank Rate from 4% to 3.75% on 18 December</w:t>
      </w:r>
      <w:r w:rsidRPr="00886380">
        <w:rPr>
          <w:rFonts w:eastAsia="Arial" w:cs="Arial"/>
          <w:i/>
          <w:iCs/>
          <w:color w:val="000000"/>
          <w:lang w:val="en-AU"/>
        </w:rPr>
        <w:t>.</w:t>
      </w:r>
    </w:p>
    <w:p w14:paraId="1AADF1AE" w14:textId="77777777" w:rsidR="00E3289C" w:rsidRPr="00D62136" w:rsidRDefault="00E3289C" w:rsidP="00E3289C">
      <w:pPr>
        <w:widowControl w:val="0"/>
        <w:jc w:val="both"/>
        <w:rPr>
          <w:rFonts w:ascii="Arial" w:hAnsi="Arial" w:cs="Arial"/>
          <w:noProof/>
          <w:lang w:val="en-AU"/>
        </w:rPr>
      </w:pPr>
    </w:p>
    <w:p w14:paraId="1E1D6825" w14:textId="77777777" w:rsidR="00E3289C" w:rsidRPr="00D47ECD" w:rsidRDefault="00E3289C" w:rsidP="0056546A">
      <w:pPr>
        <w:keepNext/>
        <w:widowControl w:val="0"/>
        <w:numPr>
          <w:ilvl w:val="1"/>
          <w:numId w:val="32"/>
        </w:numPr>
        <w:ind w:left="709" w:hanging="709"/>
        <w:rPr>
          <w:rFonts w:ascii="Arial" w:hAnsi="Arial" w:cs="Arial"/>
          <w:b/>
        </w:rPr>
      </w:pPr>
      <w:r w:rsidRPr="00D47ECD">
        <w:rPr>
          <w:rFonts w:ascii="Arial" w:hAnsi="Arial" w:cs="Arial"/>
          <w:b/>
        </w:rPr>
        <w:t>Policy on borrowing in advance of need</w:t>
      </w:r>
      <w:bookmarkEnd w:id="8"/>
      <w:r w:rsidRPr="00D47ECD">
        <w:rPr>
          <w:rFonts w:ascii="Arial" w:hAnsi="Arial" w:cs="Arial"/>
          <w:b/>
        </w:rPr>
        <w:t xml:space="preserve"> </w:t>
      </w:r>
    </w:p>
    <w:p w14:paraId="6931154D" w14:textId="77777777" w:rsidR="00E3289C" w:rsidRPr="00D47ECD" w:rsidRDefault="00E3289C" w:rsidP="00E3289C">
      <w:pPr>
        <w:keepNext/>
        <w:widowControl w:val="0"/>
        <w:tabs>
          <w:tab w:val="left" w:pos="0"/>
        </w:tabs>
        <w:autoSpaceDE w:val="0"/>
        <w:autoSpaceDN w:val="0"/>
        <w:adjustRightInd w:val="0"/>
        <w:ind w:left="792"/>
        <w:jc w:val="both"/>
        <w:rPr>
          <w:rFonts w:ascii="Arial" w:hAnsi="Arial" w:cs="Arial"/>
          <w:noProof/>
        </w:rPr>
      </w:pPr>
    </w:p>
    <w:p w14:paraId="0FC1A8B3" w14:textId="77777777" w:rsidR="0084004D" w:rsidRDefault="00E3289C" w:rsidP="00D70269">
      <w:pPr>
        <w:widowControl w:val="0"/>
        <w:numPr>
          <w:ilvl w:val="2"/>
          <w:numId w:val="32"/>
        </w:numPr>
        <w:ind w:left="709" w:hanging="709"/>
        <w:jc w:val="both"/>
        <w:rPr>
          <w:rFonts w:ascii="Arial" w:hAnsi="Arial" w:cs="Arial"/>
        </w:rPr>
      </w:pPr>
      <w:r w:rsidRPr="004607AA">
        <w:rPr>
          <w:rFonts w:ascii="Arial" w:hAnsi="Arial" w:cs="Arial"/>
        </w:rPr>
        <w:t xml:space="preserve">The Council will not borrow more than or in advance of its needs purely in order to profit from the investment of the extra sums borrowed. Any decision to borrow in advance will be within Capital Financing Requirement </w:t>
      </w:r>
      <w:proofErr w:type="gramStart"/>
      <w:r w:rsidRPr="004607AA">
        <w:rPr>
          <w:rFonts w:ascii="Arial" w:hAnsi="Arial" w:cs="Arial"/>
        </w:rPr>
        <w:t>estimates, and</w:t>
      </w:r>
      <w:proofErr w:type="gramEnd"/>
      <w:r w:rsidRPr="004607AA">
        <w:rPr>
          <w:rFonts w:ascii="Arial" w:hAnsi="Arial" w:cs="Arial"/>
        </w:rPr>
        <w:t xml:space="preserve"> will be considered carefully to ensure that value for money can be demonstrated and that the Council can ensure the security of such funds. </w:t>
      </w:r>
    </w:p>
    <w:p w14:paraId="072134C8" w14:textId="77777777" w:rsidR="0084004D" w:rsidRDefault="0084004D" w:rsidP="0084004D">
      <w:pPr>
        <w:widowControl w:val="0"/>
        <w:ind w:left="709"/>
        <w:jc w:val="both"/>
        <w:rPr>
          <w:rFonts w:ascii="Arial" w:hAnsi="Arial" w:cs="Arial"/>
        </w:rPr>
      </w:pPr>
    </w:p>
    <w:p w14:paraId="26116487" w14:textId="13719300" w:rsidR="004607AA" w:rsidRPr="0084004D" w:rsidRDefault="00E3289C" w:rsidP="00226735">
      <w:pPr>
        <w:keepNext/>
        <w:widowControl w:val="0"/>
        <w:numPr>
          <w:ilvl w:val="1"/>
          <w:numId w:val="32"/>
        </w:numPr>
        <w:ind w:left="709" w:hanging="709"/>
        <w:rPr>
          <w:rFonts w:ascii="Arial" w:hAnsi="Arial" w:cs="Arial"/>
          <w:b/>
        </w:rPr>
      </w:pPr>
      <w:r w:rsidRPr="0084004D">
        <w:rPr>
          <w:rFonts w:ascii="Arial" w:hAnsi="Arial" w:cs="Arial"/>
          <w:b/>
        </w:rPr>
        <w:t>Treasury management: Princ</w:t>
      </w:r>
      <w:r w:rsidR="004607AA" w:rsidRPr="0084004D">
        <w:rPr>
          <w:rFonts w:ascii="Arial" w:hAnsi="Arial" w:cs="Arial"/>
          <w:b/>
        </w:rPr>
        <w:t>ipal sums invested and maturity</w:t>
      </w:r>
    </w:p>
    <w:p w14:paraId="567A0870" w14:textId="77777777" w:rsidR="004607AA" w:rsidRPr="004607AA" w:rsidRDefault="004607AA" w:rsidP="0084004D">
      <w:pPr>
        <w:widowControl w:val="0"/>
        <w:ind w:left="709"/>
        <w:jc w:val="both"/>
        <w:rPr>
          <w:rFonts w:ascii="Arial" w:hAnsi="Arial" w:cs="Arial"/>
        </w:rPr>
      </w:pPr>
    </w:p>
    <w:p w14:paraId="6C401E99" w14:textId="3B572417" w:rsidR="00E3289C" w:rsidRPr="00D70269" w:rsidRDefault="00E3289C" w:rsidP="0084004D">
      <w:pPr>
        <w:widowControl w:val="0"/>
        <w:numPr>
          <w:ilvl w:val="2"/>
          <w:numId w:val="32"/>
        </w:numPr>
        <w:ind w:left="709" w:hanging="709"/>
        <w:jc w:val="both"/>
        <w:rPr>
          <w:rFonts w:ascii="Arial" w:hAnsi="Arial" w:cs="Arial"/>
        </w:rPr>
      </w:pPr>
      <w:r w:rsidRPr="00D70269">
        <w:rPr>
          <w:rFonts w:ascii="Arial" w:hAnsi="Arial" w:cs="Arial"/>
        </w:rPr>
        <w:t>This indicator shows the maximum the Council expects to invest for periods longer than 364 days at any point in time and the maturity structure of those investments. It shows the Council’s exposure to the possibility of loss that might arise as a result of it having to seek early repayment or redemption of principal sums invested.</w:t>
      </w:r>
    </w:p>
    <w:p w14:paraId="72E2C2D9" w14:textId="77777777" w:rsidR="00E3289C" w:rsidRPr="00D47ECD" w:rsidRDefault="00E3289C" w:rsidP="0084004D">
      <w:pPr>
        <w:widowControl w:val="0"/>
        <w:jc w:val="both"/>
        <w:rPr>
          <w:rFonts w:ascii="Arial" w:hAnsi="Arial" w:cs="Arial"/>
          <w:b/>
        </w:rPr>
      </w:pPr>
    </w:p>
    <w:p w14:paraId="0059F500" w14:textId="77777777" w:rsidR="00E3289C" w:rsidRPr="00C54635" w:rsidRDefault="00E3289C" w:rsidP="00226735">
      <w:pPr>
        <w:widowControl w:val="0"/>
        <w:ind w:left="709"/>
        <w:jc w:val="both"/>
        <w:rPr>
          <w:rFonts w:ascii="Arial" w:hAnsi="Arial" w:cs="Arial"/>
          <w:b/>
        </w:rPr>
      </w:pPr>
      <w:r w:rsidRPr="00C54635">
        <w:rPr>
          <w:rFonts w:ascii="Arial" w:hAnsi="Arial" w:cs="Arial"/>
          <w:b/>
        </w:rPr>
        <w:t xml:space="preserve">Table </w:t>
      </w:r>
      <w:r>
        <w:rPr>
          <w:rFonts w:ascii="Arial" w:hAnsi="Arial" w:cs="Arial"/>
          <w:b/>
        </w:rPr>
        <w:t>9</w:t>
      </w:r>
      <w:r w:rsidRPr="00C54635">
        <w:rPr>
          <w:rFonts w:ascii="Arial" w:hAnsi="Arial" w:cs="Arial"/>
          <w:b/>
        </w:rPr>
        <w:t xml:space="preserve"> – Investments limits beyond 1 year</w:t>
      </w:r>
    </w:p>
    <w:p w14:paraId="16189F59" w14:textId="77777777" w:rsidR="00E3289C" w:rsidRPr="00C54635" w:rsidRDefault="00E3289C" w:rsidP="00E3289C">
      <w:pPr>
        <w:widowControl w:val="0"/>
        <w:tabs>
          <w:tab w:val="left" w:pos="-142"/>
        </w:tabs>
        <w:rPr>
          <w:rFonts w:ascii="Arial" w:hAnsi="Arial" w:cs="Arial"/>
        </w:rPr>
      </w:pPr>
      <w:r w:rsidRPr="00C54635">
        <w:rPr>
          <w:rFonts w:ascii="Arial" w:hAnsi="Arial" w:cs="Arial"/>
        </w:rPr>
        <w:t xml:space="preserve"> </w:t>
      </w:r>
    </w:p>
    <w:tbl>
      <w:tblPr>
        <w:tblW w:w="7780" w:type="dxa"/>
        <w:tblInd w:w="699" w:type="dxa"/>
        <w:tblLook w:val="04A0" w:firstRow="1" w:lastRow="0" w:firstColumn="1" w:lastColumn="0" w:noHBand="0" w:noVBand="1"/>
      </w:tblPr>
      <w:tblGrid>
        <w:gridCol w:w="4528"/>
        <w:gridCol w:w="1084"/>
        <w:gridCol w:w="1084"/>
        <w:gridCol w:w="1084"/>
      </w:tblGrid>
      <w:tr w:rsidR="00E3289C" w:rsidRPr="00C54635" w14:paraId="7BEDBBDC" w14:textId="77777777" w:rsidTr="00226735">
        <w:trPr>
          <w:trHeight w:val="309"/>
        </w:trPr>
        <w:tc>
          <w:tcPr>
            <w:tcW w:w="7780" w:type="dxa"/>
            <w:gridSpan w:val="4"/>
            <w:tcBorders>
              <w:top w:val="single" w:sz="8" w:space="0" w:color="auto"/>
              <w:left w:val="single" w:sz="8" w:space="0" w:color="auto"/>
              <w:bottom w:val="single" w:sz="8" w:space="0" w:color="auto"/>
              <w:right w:val="single" w:sz="8" w:space="0" w:color="000000"/>
            </w:tcBorders>
            <w:shd w:val="clear" w:color="000000" w:fill="C0C0C0"/>
            <w:vAlign w:val="center"/>
            <w:hideMark/>
          </w:tcPr>
          <w:p w14:paraId="49A5E277" w14:textId="77777777" w:rsidR="00E3289C" w:rsidRPr="00C54635" w:rsidRDefault="00E3289C" w:rsidP="00E3289C">
            <w:pPr>
              <w:jc w:val="both"/>
              <w:rPr>
                <w:rFonts w:ascii="Arial" w:hAnsi="Arial" w:cs="Arial"/>
                <w:color w:val="000000"/>
                <w:lang w:eastAsia="en-GB"/>
              </w:rPr>
            </w:pPr>
            <w:r w:rsidRPr="00C54635">
              <w:rPr>
                <w:rFonts w:ascii="Arial" w:hAnsi="Arial" w:cs="Arial"/>
                <w:color w:val="000000"/>
              </w:rPr>
              <w:t>Maximum principal sums invested &gt; 365 days</w:t>
            </w:r>
          </w:p>
        </w:tc>
      </w:tr>
      <w:tr w:rsidR="00E3289C" w:rsidRPr="00C54635" w14:paraId="20F14875" w14:textId="77777777" w:rsidTr="00226735">
        <w:trPr>
          <w:trHeight w:val="309"/>
        </w:trPr>
        <w:tc>
          <w:tcPr>
            <w:tcW w:w="4528" w:type="dxa"/>
            <w:tcBorders>
              <w:top w:val="nil"/>
              <w:left w:val="single" w:sz="8" w:space="0" w:color="auto"/>
              <w:bottom w:val="single" w:sz="8" w:space="0" w:color="auto"/>
              <w:right w:val="single" w:sz="8" w:space="0" w:color="auto"/>
            </w:tcBorders>
            <w:shd w:val="clear" w:color="000000" w:fill="C0C0C0"/>
            <w:vAlign w:val="center"/>
            <w:hideMark/>
          </w:tcPr>
          <w:p w14:paraId="6A4CE805" w14:textId="77777777" w:rsidR="00E3289C" w:rsidRPr="00C54635" w:rsidRDefault="00E3289C" w:rsidP="00E3289C">
            <w:pPr>
              <w:jc w:val="both"/>
              <w:rPr>
                <w:rFonts w:ascii="Arial" w:hAnsi="Arial" w:cs="Arial"/>
                <w:color w:val="000000"/>
              </w:rPr>
            </w:pPr>
            <w:r w:rsidRPr="00C54635">
              <w:rPr>
                <w:rFonts w:ascii="Arial" w:hAnsi="Arial" w:cs="Arial"/>
                <w:color w:val="000000"/>
              </w:rPr>
              <w:t>£m</w:t>
            </w:r>
          </w:p>
        </w:tc>
        <w:tc>
          <w:tcPr>
            <w:tcW w:w="1084" w:type="dxa"/>
            <w:tcBorders>
              <w:top w:val="nil"/>
              <w:left w:val="nil"/>
              <w:bottom w:val="single" w:sz="8" w:space="0" w:color="auto"/>
              <w:right w:val="single" w:sz="8" w:space="0" w:color="auto"/>
            </w:tcBorders>
            <w:shd w:val="clear" w:color="000000" w:fill="C0C0C0"/>
            <w:vAlign w:val="center"/>
            <w:hideMark/>
          </w:tcPr>
          <w:p w14:paraId="236E06D2" w14:textId="77777777" w:rsidR="00E3289C" w:rsidRPr="00C54635" w:rsidRDefault="00E3289C" w:rsidP="00E3289C">
            <w:pPr>
              <w:jc w:val="right"/>
              <w:rPr>
                <w:rFonts w:ascii="Arial" w:hAnsi="Arial" w:cs="Arial"/>
                <w:color w:val="000000"/>
              </w:rPr>
            </w:pPr>
            <w:r>
              <w:rPr>
                <w:rFonts w:ascii="Arial" w:hAnsi="Arial" w:cs="Arial"/>
                <w:color w:val="000000"/>
              </w:rPr>
              <w:t>2026/27</w:t>
            </w:r>
          </w:p>
        </w:tc>
        <w:tc>
          <w:tcPr>
            <w:tcW w:w="1084" w:type="dxa"/>
            <w:tcBorders>
              <w:top w:val="nil"/>
              <w:left w:val="nil"/>
              <w:bottom w:val="single" w:sz="8" w:space="0" w:color="auto"/>
              <w:right w:val="single" w:sz="8" w:space="0" w:color="auto"/>
            </w:tcBorders>
            <w:shd w:val="clear" w:color="000000" w:fill="C0C0C0"/>
            <w:vAlign w:val="center"/>
            <w:hideMark/>
          </w:tcPr>
          <w:p w14:paraId="4F087B8F" w14:textId="77777777" w:rsidR="00E3289C" w:rsidRPr="00C54635" w:rsidRDefault="00E3289C" w:rsidP="00E3289C">
            <w:pPr>
              <w:jc w:val="right"/>
              <w:rPr>
                <w:rFonts w:ascii="Arial" w:hAnsi="Arial" w:cs="Arial"/>
                <w:color w:val="000000"/>
              </w:rPr>
            </w:pPr>
            <w:r>
              <w:rPr>
                <w:rFonts w:ascii="Arial" w:hAnsi="Arial" w:cs="Arial"/>
                <w:color w:val="000000"/>
              </w:rPr>
              <w:t>2027/28</w:t>
            </w:r>
          </w:p>
        </w:tc>
        <w:tc>
          <w:tcPr>
            <w:tcW w:w="1084" w:type="dxa"/>
            <w:tcBorders>
              <w:top w:val="nil"/>
              <w:left w:val="nil"/>
              <w:bottom w:val="single" w:sz="8" w:space="0" w:color="auto"/>
              <w:right w:val="single" w:sz="8" w:space="0" w:color="auto"/>
            </w:tcBorders>
            <w:shd w:val="clear" w:color="000000" w:fill="C0C0C0"/>
            <w:vAlign w:val="center"/>
            <w:hideMark/>
          </w:tcPr>
          <w:p w14:paraId="1378EB8D" w14:textId="77777777" w:rsidR="00E3289C" w:rsidRPr="00C54635" w:rsidRDefault="00E3289C" w:rsidP="00E3289C">
            <w:pPr>
              <w:jc w:val="right"/>
              <w:rPr>
                <w:rFonts w:ascii="Arial" w:hAnsi="Arial" w:cs="Arial"/>
                <w:color w:val="000000"/>
              </w:rPr>
            </w:pPr>
            <w:r>
              <w:rPr>
                <w:rFonts w:ascii="Arial" w:hAnsi="Arial" w:cs="Arial"/>
                <w:color w:val="000000"/>
              </w:rPr>
              <w:t>2028/29</w:t>
            </w:r>
          </w:p>
        </w:tc>
      </w:tr>
      <w:tr w:rsidR="00E3289C" w:rsidRPr="00C54635" w14:paraId="6BF0AACD" w14:textId="77777777" w:rsidTr="00226735">
        <w:trPr>
          <w:trHeight w:val="563"/>
        </w:trPr>
        <w:tc>
          <w:tcPr>
            <w:tcW w:w="4528" w:type="dxa"/>
            <w:tcBorders>
              <w:top w:val="nil"/>
              <w:left w:val="single" w:sz="8" w:space="0" w:color="auto"/>
              <w:bottom w:val="single" w:sz="8" w:space="0" w:color="auto"/>
              <w:right w:val="single" w:sz="8" w:space="0" w:color="auto"/>
            </w:tcBorders>
            <w:vAlign w:val="center"/>
            <w:hideMark/>
          </w:tcPr>
          <w:p w14:paraId="637567E0" w14:textId="77777777" w:rsidR="00E3289C" w:rsidRPr="00C54635" w:rsidRDefault="00E3289C" w:rsidP="00E3289C">
            <w:pPr>
              <w:jc w:val="both"/>
              <w:rPr>
                <w:rFonts w:ascii="Arial" w:hAnsi="Arial" w:cs="Arial"/>
                <w:color w:val="000000"/>
              </w:rPr>
            </w:pPr>
            <w:r w:rsidRPr="00C54635">
              <w:rPr>
                <w:rFonts w:ascii="Arial" w:hAnsi="Arial" w:cs="Arial"/>
                <w:color w:val="000000"/>
              </w:rPr>
              <w:t>Principal sums invested &gt; 365 days</w:t>
            </w:r>
          </w:p>
        </w:tc>
        <w:tc>
          <w:tcPr>
            <w:tcW w:w="1084" w:type="dxa"/>
            <w:tcBorders>
              <w:top w:val="nil"/>
              <w:left w:val="nil"/>
              <w:bottom w:val="single" w:sz="8" w:space="0" w:color="auto"/>
              <w:right w:val="single" w:sz="8" w:space="0" w:color="auto"/>
            </w:tcBorders>
            <w:vAlign w:val="center"/>
            <w:hideMark/>
          </w:tcPr>
          <w:p w14:paraId="2A1EDF22" w14:textId="77777777" w:rsidR="00E3289C" w:rsidRPr="00C54635" w:rsidRDefault="00E3289C" w:rsidP="00E3289C">
            <w:pPr>
              <w:jc w:val="center"/>
              <w:rPr>
                <w:rFonts w:ascii="Arial" w:hAnsi="Arial" w:cs="Arial"/>
                <w:color w:val="000000"/>
              </w:rPr>
            </w:pPr>
            <w:r w:rsidRPr="00C54635">
              <w:rPr>
                <w:rFonts w:ascii="Arial" w:hAnsi="Arial" w:cs="Arial"/>
                <w:color w:val="000000"/>
              </w:rPr>
              <w:t>£50m</w:t>
            </w:r>
          </w:p>
        </w:tc>
        <w:tc>
          <w:tcPr>
            <w:tcW w:w="1084" w:type="dxa"/>
            <w:tcBorders>
              <w:top w:val="nil"/>
              <w:left w:val="nil"/>
              <w:bottom w:val="single" w:sz="8" w:space="0" w:color="auto"/>
              <w:right w:val="single" w:sz="8" w:space="0" w:color="auto"/>
            </w:tcBorders>
            <w:vAlign w:val="center"/>
            <w:hideMark/>
          </w:tcPr>
          <w:p w14:paraId="7D62DE42" w14:textId="77777777" w:rsidR="00E3289C" w:rsidRPr="00C54635" w:rsidRDefault="00E3289C" w:rsidP="00E3289C">
            <w:pPr>
              <w:jc w:val="center"/>
              <w:rPr>
                <w:rFonts w:ascii="Arial" w:hAnsi="Arial" w:cs="Arial"/>
                <w:color w:val="000000"/>
              </w:rPr>
            </w:pPr>
            <w:r w:rsidRPr="00C54635">
              <w:rPr>
                <w:rFonts w:ascii="Arial" w:hAnsi="Arial" w:cs="Arial"/>
                <w:color w:val="000000"/>
              </w:rPr>
              <w:t>£50m</w:t>
            </w:r>
          </w:p>
        </w:tc>
        <w:tc>
          <w:tcPr>
            <w:tcW w:w="1084" w:type="dxa"/>
            <w:tcBorders>
              <w:top w:val="nil"/>
              <w:left w:val="nil"/>
              <w:bottom w:val="single" w:sz="8" w:space="0" w:color="auto"/>
              <w:right w:val="single" w:sz="8" w:space="0" w:color="auto"/>
            </w:tcBorders>
            <w:vAlign w:val="center"/>
            <w:hideMark/>
          </w:tcPr>
          <w:p w14:paraId="54F5920C" w14:textId="77777777" w:rsidR="00E3289C" w:rsidRPr="00C54635" w:rsidRDefault="00E3289C" w:rsidP="00E3289C">
            <w:pPr>
              <w:jc w:val="center"/>
              <w:rPr>
                <w:rFonts w:ascii="Arial" w:hAnsi="Arial" w:cs="Arial"/>
                <w:color w:val="000000"/>
              </w:rPr>
            </w:pPr>
            <w:r w:rsidRPr="00C54635">
              <w:rPr>
                <w:rFonts w:ascii="Arial" w:hAnsi="Arial" w:cs="Arial"/>
                <w:color w:val="000000"/>
              </w:rPr>
              <w:t>£50m</w:t>
            </w:r>
          </w:p>
        </w:tc>
      </w:tr>
    </w:tbl>
    <w:p w14:paraId="2FBEACE3" w14:textId="77777777" w:rsidR="00226735" w:rsidRDefault="00226735" w:rsidP="00226735">
      <w:pPr>
        <w:widowControl w:val="0"/>
        <w:jc w:val="both"/>
        <w:rPr>
          <w:rFonts w:ascii="Arial" w:hAnsi="Arial" w:cs="Arial"/>
          <w:b/>
          <w:sz w:val="28"/>
          <w:szCs w:val="28"/>
          <w:highlight w:val="yellow"/>
          <w:u w:val="single"/>
        </w:rPr>
      </w:pPr>
    </w:p>
    <w:p w14:paraId="04FAFD11" w14:textId="77777777" w:rsidR="00226735" w:rsidRDefault="00226735" w:rsidP="00226735">
      <w:pPr>
        <w:widowControl w:val="0"/>
        <w:jc w:val="both"/>
        <w:rPr>
          <w:rFonts w:ascii="Arial" w:hAnsi="Arial" w:cs="Arial"/>
          <w:b/>
          <w:sz w:val="28"/>
          <w:szCs w:val="28"/>
          <w:u w:val="single"/>
        </w:rPr>
      </w:pPr>
    </w:p>
    <w:p w14:paraId="3923C3F1" w14:textId="7DE6FCB7" w:rsidR="00E3289C" w:rsidRPr="00226735" w:rsidRDefault="00E3289C" w:rsidP="00226735">
      <w:pPr>
        <w:pStyle w:val="ListParagraph"/>
        <w:widowControl w:val="0"/>
        <w:numPr>
          <w:ilvl w:val="0"/>
          <w:numId w:val="20"/>
        </w:numPr>
        <w:ind w:left="709" w:hanging="709"/>
        <w:rPr>
          <w:rFonts w:ascii="Arial" w:hAnsi="Arial" w:cs="Arial"/>
          <w:b/>
          <w:sz w:val="28"/>
          <w:szCs w:val="28"/>
          <w:u w:val="single"/>
        </w:rPr>
      </w:pPr>
      <w:r w:rsidRPr="00F479C2">
        <w:rPr>
          <w:rFonts w:ascii="Arial" w:hAnsi="Arial" w:cs="Arial"/>
          <w:b/>
          <w:sz w:val="28"/>
          <w:szCs w:val="28"/>
          <w:u w:val="single"/>
        </w:rPr>
        <w:t>Current Portfolio Position</w:t>
      </w:r>
    </w:p>
    <w:p w14:paraId="2C20B5BD" w14:textId="77777777" w:rsidR="00E3289C" w:rsidRPr="00F479C2" w:rsidRDefault="00E3289C" w:rsidP="00E3289C">
      <w:pPr>
        <w:widowControl w:val="0"/>
        <w:numPr>
          <w:ilvl w:val="12"/>
          <w:numId w:val="0"/>
        </w:numPr>
        <w:rPr>
          <w:rFonts w:ascii="Arial" w:hAnsi="Arial"/>
        </w:rPr>
      </w:pPr>
    </w:p>
    <w:p w14:paraId="7DE8EE8B" w14:textId="528B0AA6" w:rsidR="00E3289C" w:rsidRPr="007E37E5" w:rsidRDefault="00E3289C" w:rsidP="00D60EFC">
      <w:pPr>
        <w:pStyle w:val="ListParagraph"/>
        <w:widowControl w:val="0"/>
        <w:numPr>
          <w:ilvl w:val="1"/>
          <w:numId w:val="19"/>
        </w:numPr>
        <w:ind w:hanging="644"/>
        <w:jc w:val="both"/>
        <w:rPr>
          <w:rFonts w:ascii="Arial" w:hAnsi="Arial" w:cs="Arial"/>
        </w:rPr>
      </w:pPr>
      <w:r w:rsidRPr="00537530">
        <w:rPr>
          <w:rFonts w:ascii="Arial" w:hAnsi="Arial" w:cs="Arial"/>
        </w:rPr>
        <w:t>There is a favourable variance of £</w:t>
      </w:r>
      <w:r w:rsidR="00FB6FC1">
        <w:rPr>
          <w:rFonts w:ascii="Arial" w:hAnsi="Arial" w:cs="Arial"/>
        </w:rPr>
        <w:t>1.819</w:t>
      </w:r>
      <w:r>
        <w:rPr>
          <w:rFonts w:ascii="Arial" w:hAnsi="Arial" w:cs="Arial"/>
        </w:rPr>
        <w:t>m</w:t>
      </w:r>
      <w:r w:rsidRPr="00537530">
        <w:rPr>
          <w:rFonts w:ascii="Arial" w:hAnsi="Arial" w:cs="Arial"/>
        </w:rPr>
        <w:t xml:space="preserve"> as </w:t>
      </w:r>
      <w:proofErr w:type="gramStart"/>
      <w:r w:rsidRPr="00537530">
        <w:rPr>
          <w:rFonts w:ascii="Arial" w:hAnsi="Arial" w:cs="Arial"/>
        </w:rPr>
        <w:t>at</w:t>
      </w:r>
      <w:proofErr w:type="gramEnd"/>
      <w:r w:rsidRPr="00537530">
        <w:rPr>
          <w:rFonts w:ascii="Arial" w:hAnsi="Arial" w:cs="Arial"/>
        </w:rPr>
        <w:t xml:space="preserve"> 3</w:t>
      </w:r>
      <w:r w:rsidR="00FB6FC1">
        <w:rPr>
          <w:rFonts w:ascii="Arial" w:hAnsi="Arial" w:cs="Arial"/>
        </w:rPr>
        <w:t>1</w:t>
      </w:r>
      <w:r w:rsidRPr="00537530">
        <w:rPr>
          <w:rFonts w:ascii="Arial" w:hAnsi="Arial" w:cs="Arial"/>
        </w:rPr>
        <w:t xml:space="preserve"> </w:t>
      </w:r>
      <w:r w:rsidR="00FB6FC1">
        <w:rPr>
          <w:rFonts w:ascii="Arial" w:hAnsi="Arial" w:cs="Arial"/>
        </w:rPr>
        <w:t>December</w:t>
      </w:r>
      <w:r w:rsidRPr="00537530">
        <w:rPr>
          <w:rFonts w:ascii="Arial" w:hAnsi="Arial" w:cs="Arial"/>
        </w:rPr>
        <w:t xml:space="preserve"> 202</w:t>
      </w:r>
      <w:r>
        <w:rPr>
          <w:rFonts w:ascii="Arial" w:hAnsi="Arial" w:cs="Arial"/>
        </w:rPr>
        <w:t>5</w:t>
      </w:r>
      <w:r w:rsidRPr="00537530">
        <w:rPr>
          <w:rFonts w:ascii="Arial" w:hAnsi="Arial" w:cs="Arial"/>
        </w:rPr>
        <w:t xml:space="preserve">, having </w:t>
      </w:r>
      <w:r w:rsidRPr="00537530">
        <w:rPr>
          <w:rFonts w:ascii="Arial" w:hAnsi="Arial" w:cs="Arial"/>
        </w:rPr>
        <w:lastRenderedPageBreak/>
        <w:t>achieved an investment income of £</w:t>
      </w:r>
      <w:r w:rsidR="005D07FA">
        <w:rPr>
          <w:rFonts w:ascii="Arial" w:hAnsi="Arial" w:cs="Arial"/>
        </w:rPr>
        <w:t>2.</w:t>
      </w:r>
      <w:r>
        <w:rPr>
          <w:rFonts w:ascii="Arial" w:hAnsi="Arial" w:cs="Arial"/>
        </w:rPr>
        <w:t>9</w:t>
      </w:r>
      <w:r w:rsidR="005D07FA">
        <w:rPr>
          <w:rFonts w:ascii="Arial" w:hAnsi="Arial" w:cs="Arial"/>
        </w:rPr>
        <w:t>44</w:t>
      </w:r>
      <w:r w:rsidRPr="00537530">
        <w:rPr>
          <w:rFonts w:ascii="Arial" w:hAnsi="Arial" w:cs="Arial"/>
        </w:rPr>
        <w:t xml:space="preserve">m against a </w:t>
      </w:r>
      <w:proofErr w:type="gramStart"/>
      <w:r w:rsidRPr="00537530">
        <w:rPr>
          <w:rFonts w:ascii="Arial" w:hAnsi="Arial" w:cs="Arial"/>
        </w:rPr>
        <w:t>year to date</w:t>
      </w:r>
      <w:proofErr w:type="gramEnd"/>
      <w:r w:rsidRPr="00537530">
        <w:rPr>
          <w:rFonts w:ascii="Arial" w:hAnsi="Arial" w:cs="Arial"/>
        </w:rPr>
        <w:t xml:space="preserve"> </w:t>
      </w:r>
      <w:r w:rsidR="005D07FA">
        <w:rPr>
          <w:rFonts w:ascii="Arial" w:hAnsi="Arial" w:cs="Arial"/>
        </w:rPr>
        <w:t>budget of £1.125</w:t>
      </w:r>
      <w:r w:rsidRPr="00537530">
        <w:rPr>
          <w:rFonts w:ascii="Arial" w:hAnsi="Arial" w:cs="Arial"/>
        </w:rPr>
        <w:t xml:space="preserve">m.  </w:t>
      </w:r>
      <w:r w:rsidRPr="007E37E5">
        <w:rPr>
          <w:rFonts w:ascii="Arial" w:hAnsi="Arial" w:cs="Arial"/>
        </w:rPr>
        <w:t>The year-end forecast is for a favourable variance of £</w:t>
      </w:r>
      <w:r w:rsidR="005D07FA">
        <w:rPr>
          <w:rFonts w:ascii="Arial" w:hAnsi="Arial" w:cs="Arial"/>
        </w:rPr>
        <w:t>2.117</w:t>
      </w:r>
      <w:r w:rsidRPr="007E37E5">
        <w:rPr>
          <w:rFonts w:ascii="Arial" w:hAnsi="Arial" w:cs="Arial"/>
        </w:rPr>
        <w:t>m.</w:t>
      </w:r>
    </w:p>
    <w:p w14:paraId="6C14575C" w14:textId="77777777" w:rsidR="00E3289C" w:rsidRPr="007E37E5" w:rsidRDefault="00E3289C" w:rsidP="00E3289C">
      <w:pPr>
        <w:widowControl w:val="0"/>
        <w:ind w:left="709"/>
        <w:jc w:val="both"/>
        <w:rPr>
          <w:rFonts w:ascii="Arial" w:hAnsi="Arial" w:cs="Arial"/>
        </w:rPr>
      </w:pPr>
    </w:p>
    <w:p w14:paraId="636850D7" w14:textId="2A0159D3" w:rsidR="00E3289C" w:rsidRDefault="004607AA" w:rsidP="00D60EFC">
      <w:pPr>
        <w:widowControl w:val="0"/>
        <w:numPr>
          <w:ilvl w:val="1"/>
          <w:numId w:val="19"/>
        </w:numPr>
        <w:tabs>
          <w:tab w:val="left" w:pos="1134"/>
        </w:tabs>
        <w:ind w:left="709" w:hanging="709"/>
        <w:jc w:val="both"/>
        <w:rPr>
          <w:rFonts w:ascii="Arial" w:hAnsi="Arial" w:cs="Arial"/>
        </w:rPr>
      </w:pPr>
      <w:r>
        <w:rPr>
          <w:rFonts w:ascii="Arial" w:hAnsi="Arial" w:cs="Arial"/>
        </w:rPr>
        <w:t>Tables 10 and 11</w:t>
      </w:r>
      <w:r w:rsidR="00E3289C" w:rsidRPr="007E37E5">
        <w:rPr>
          <w:rFonts w:ascii="Arial" w:hAnsi="Arial" w:cs="Arial"/>
        </w:rPr>
        <w:t xml:space="preserve"> below show the current year to date investment income returns and the forecast return for 202</w:t>
      </w:r>
      <w:r w:rsidR="00E3289C">
        <w:rPr>
          <w:rFonts w:ascii="Arial" w:hAnsi="Arial" w:cs="Arial"/>
        </w:rPr>
        <w:t>5</w:t>
      </w:r>
      <w:r w:rsidR="00E3289C" w:rsidRPr="007E37E5">
        <w:rPr>
          <w:rFonts w:ascii="Arial" w:hAnsi="Arial" w:cs="Arial"/>
        </w:rPr>
        <w:t>/2</w:t>
      </w:r>
      <w:r w:rsidR="00E3289C">
        <w:rPr>
          <w:rFonts w:ascii="Arial" w:hAnsi="Arial" w:cs="Arial"/>
        </w:rPr>
        <w:t>6</w:t>
      </w:r>
      <w:r w:rsidR="00E3289C" w:rsidRPr="007E37E5">
        <w:rPr>
          <w:rFonts w:ascii="Arial" w:hAnsi="Arial" w:cs="Arial"/>
        </w:rPr>
        <w:t>:</w:t>
      </w:r>
    </w:p>
    <w:p w14:paraId="33F24204" w14:textId="77777777" w:rsidR="00E3289C" w:rsidRDefault="00E3289C" w:rsidP="00E3289C">
      <w:pPr>
        <w:pStyle w:val="ListParagraph"/>
        <w:rPr>
          <w:rFonts w:ascii="Arial" w:hAnsi="Arial" w:cs="Arial"/>
        </w:rPr>
      </w:pPr>
    </w:p>
    <w:p w14:paraId="6FDB5B3B" w14:textId="77777777" w:rsidR="00E3289C" w:rsidRPr="00F23A42" w:rsidRDefault="00E3289C" w:rsidP="00226735">
      <w:pPr>
        <w:widowControl w:val="0"/>
        <w:ind w:left="709"/>
        <w:jc w:val="both"/>
        <w:rPr>
          <w:rFonts w:ascii="Arial" w:hAnsi="Arial" w:cs="Arial"/>
          <w:b/>
        </w:rPr>
      </w:pPr>
      <w:r w:rsidRPr="00F23A42">
        <w:rPr>
          <w:rFonts w:ascii="Arial" w:hAnsi="Arial" w:cs="Arial"/>
          <w:b/>
        </w:rPr>
        <w:t xml:space="preserve">Table </w:t>
      </w:r>
      <w:r w:rsidRPr="00004B22">
        <w:rPr>
          <w:rFonts w:ascii="Arial" w:hAnsi="Arial" w:cs="Arial"/>
          <w:b/>
        </w:rPr>
        <w:t>10</w:t>
      </w:r>
      <w:r w:rsidRPr="00F23A42">
        <w:rPr>
          <w:rFonts w:ascii="Arial" w:hAnsi="Arial" w:cs="Arial"/>
          <w:b/>
        </w:rPr>
        <w:t xml:space="preserve"> – Investment income year to date</w:t>
      </w:r>
    </w:p>
    <w:p w14:paraId="4D47E716" w14:textId="77777777" w:rsidR="00E3289C" w:rsidRDefault="00E3289C" w:rsidP="00E3289C">
      <w:pPr>
        <w:pStyle w:val="ListParagraph"/>
        <w:ind w:left="851"/>
        <w:rPr>
          <w:rFonts w:ascii="Arial" w:hAnsi="Arial" w:cs="Arial"/>
        </w:rPr>
      </w:pPr>
    </w:p>
    <w:p w14:paraId="5A790C2F" w14:textId="3DB8FE35" w:rsidR="00E3289C" w:rsidRDefault="00FB6FC1" w:rsidP="00226735">
      <w:pPr>
        <w:widowControl w:val="0"/>
        <w:ind w:left="709"/>
        <w:jc w:val="both"/>
        <w:rPr>
          <w:rFonts w:ascii="Arial" w:hAnsi="Arial" w:cs="Arial"/>
        </w:rPr>
      </w:pPr>
      <w:r w:rsidRPr="003445AF">
        <w:rPr>
          <w:noProof/>
          <w:lang w:eastAsia="en-GB"/>
        </w:rPr>
        <w:drawing>
          <wp:inline distT="0" distB="0" distL="0" distR="0" wp14:anchorId="7CFD1B81" wp14:editId="0120228D">
            <wp:extent cx="3765355" cy="3700732"/>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5193" cy="3710402"/>
                    </a:xfrm>
                    <a:prstGeom prst="rect">
                      <a:avLst/>
                    </a:prstGeom>
                    <a:noFill/>
                    <a:ln>
                      <a:noFill/>
                    </a:ln>
                  </pic:spPr>
                </pic:pic>
              </a:graphicData>
            </a:graphic>
          </wp:inline>
        </w:drawing>
      </w:r>
      <w:r w:rsidR="00E3289C" w:rsidRPr="00A61380">
        <w:rPr>
          <w:noProof/>
          <w:lang w:eastAsia="en-GB"/>
        </w:rPr>
        <w:t xml:space="preserve"> </w:t>
      </w:r>
    </w:p>
    <w:p w14:paraId="70D55511" w14:textId="77777777" w:rsidR="00E3289C" w:rsidRDefault="00E3289C" w:rsidP="00E3289C">
      <w:pPr>
        <w:widowControl w:val="0"/>
        <w:tabs>
          <w:tab w:val="left" w:pos="1134"/>
        </w:tabs>
        <w:ind w:left="851"/>
        <w:jc w:val="both"/>
        <w:rPr>
          <w:rFonts w:ascii="Arial" w:hAnsi="Arial" w:cs="Arial"/>
        </w:rPr>
      </w:pPr>
    </w:p>
    <w:p w14:paraId="38CB1F88" w14:textId="48DA3152" w:rsidR="00FB6FC1" w:rsidRDefault="00E3289C" w:rsidP="00226735">
      <w:pPr>
        <w:widowControl w:val="0"/>
        <w:ind w:left="709"/>
        <w:jc w:val="both"/>
        <w:rPr>
          <w:rFonts w:ascii="Arial" w:hAnsi="Arial" w:cs="Arial"/>
          <w:b/>
        </w:rPr>
      </w:pPr>
      <w:r w:rsidRPr="008A25A0">
        <w:rPr>
          <w:rFonts w:ascii="Arial" w:hAnsi="Arial" w:cs="Arial"/>
          <w:b/>
        </w:rPr>
        <w:t>T</w:t>
      </w:r>
      <w:r>
        <w:rPr>
          <w:rFonts w:ascii="Arial" w:hAnsi="Arial" w:cs="Arial"/>
          <w:b/>
        </w:rPr>
        <w:t>able 11</w:t>
      </w:r>
      <w:r w:rsidRPr="008A25A0">
        <w:rPr>
          <w:rFonts w:ascii="Arial" w:hAnsi="Arial" w:cs="Arial"/>
          <w:b/>
        </w:rPr>
        <w:t xml:space="preserve"> – Investment </w:t>
      </w:r>
      <w:r>
        <w:rPr>
          <w:rFonts w:ascii="Arial" w:hAnsi="Arial" w:cs="Arial"/>
          <w:b/>
        </w:rPr>
        <w:t>income year end</w:t>
      </w:r>
      <w:r w:rsidR="005D07FA">
        <w:rPr>
          <w:rFonts w:ascii="Arial" w:hAnsi="Arial" w:cs="Arial"/>
          <w:b/>
        </w:rPr>
        <w:t xml:space="preserve"> forecast</w:t>
      </w:r>
    </w:p>
    <w:p w14:paraId="75A2F62C" w14:textId="77777777" w:rsidR="00226735" w:rsidRDefault="00226735" w:rsidP="00226735">
      <w:pPr>
        <w:widowControl w:val="0"/>
        <w:ind w:left="709"/>
        <w:jc w:val="both"/>
        <w:rPr>
          <w:rFonts w:ascii="Arial" w:hAnsi="Arial" w:cs="Arial"/>
          <w:b/>
        </w:rPr>
      </w:pPr>
    </w:p>
    <w:p w14:paraId="73152BE2" w14:textId="6D5753D1" w:rsidR="00E3289C" w:rsidRPr="00226735" w:rsidRDefault="00FB6FC1" w:rsidP="00226735">
      <w:pPr>
        <w:widowControl w:val="0"/>
        <w:ind w:left="709"/>
        <w:jc w:val="both"/>
        <w:rPr>
          <w:rFonts w:ascii="Arial" w:hAnsi="Arial" w:cs="Arial"/>
          <w:b/>
        </w:rPr>
      </w:pPr>
      <w:r w:rsidRPr="000C5B09">
        <w:rPr>
          <w:noProof/>
          <w:lang w:eastAsia="en-GB"/>
        </w:rPr>
        <w:drawing>
          <wp:inline distT="0" distB="0" distL="0" distR="0" wp14:anchorId="3B06091E" wp14:editId="3CCD9F58">
            <wp:extent cx="3735237" cy="3140317"/>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9021" cy="3151906"/>
                    </a:xfrm>
                    <a:prstGeom prst="rect">
                      <a:avLst/>
                    </a:prstGeom>
                    <a:noFill/>
                    <a:ln>
                      <a:noFill/>
                    </a:ln>
                  </pic:spPr>
                </pic:pic>
              </a:graphicData>
            </a:graphic>
          </wp:inline>
        </w:drawing>
      </w:r>
    </w:p>
    <w:p w14:paraId="0E4183AD" w14:textId="77777777" w:rsidR="00E3289C" w:rsidRPr="005C435D" w:rsidRDefault="00E3289C" w:rsidP="00E3289C">
      <w:pPr>
        <w:widowControl w:val="0"/>
        <w:tabs>
          <w:tab w:val="left" w:pos="0"/>
        </w:tabs>
        <w:jc w:val="both"/>
        <w:rPr>
          <w:rFonts w:ascii="Arial" w:hAnsi="Arial" w:cs="Arial"/>
          <w:highlight w:val="yellow"/>
        </w:rPr>
      </w:pPr>
    </w:p>
    <w:p w14:paraId="02654005" w14:textId="77777777" w:rsidR="00E3289C" w:rsidRPr="00F479C2" w:rsidRDefault="00E3289C" w:rsidP="00D60EFC">
      <w:pPr>
        <w:pStyle w:val="ListParagraph"/>
        <w:widowControl w:val="0"/>
        <w:numPr>
          <w:ilvl w:val="0"/>
          <w:numId w:val="19"/>
        </w:numPr>
        <w:ind w:left="709" w:hanging="709"/>
        <w:rPr>
          <w:rFonts w:ascii="Arial" w:hAnsi="Arial" w:cs="Arial"/>
          <w:b/>
          <w:sz w:val="28"/>
          <w:szCs w:val="28"/>
          <w:u w:val="single"/>
        </w:rPr>
      </w:pPr>
      <w:r w:rsidRPr="00F479C2">
        <w:rPr>
          <w:rFonts w:ascii="Arial" w:hAnsi="Arial" w:cs="Arial"/>
          <w:b/>
          <w:sz w:val="28"/>
          <w:szCs w:val="28"/>
          <w:u w:val="single"/>
        </w:rPr>
        <w:t>Annual Investment Strategy</w:t>
      </w:r>
    </w:p>
    <w:p w14:paraId="0155ADD4" w14:textId="77777777" w:rsidR="00E3289C" w:rsidRPr="00F479C2" w:rsidRDefault="00E3289C" w:rsidP="00E3289C">
      <w:pPr>
        <w:widowControl w:val="0"/>
        <w:tabs>
          <w:tab w:val="left" w:pos="0"/>
        </w:tabs>
        <w:rPr>
          <w:rFonts w:ascii="Arial" w:hAnsi="Arial"/>
          <w:b/>
          <w:u w:val="single"/>
        </w:rPr>
      </w:pPr>
    </w:p>
    <w:p w14:paraId="5D90014E" w14:textId="77777777" w:rsidR="00DF4A60" w:rsidRDefault="00E3289C" w:rsidP="00DF4A60">
      <w:pPr>
        <w:widowControl w:val="0"/>
        <w:numPr>
          <w:ilvl w:val="1"/>
          <w:numId w:val="19"/>
        </w:numPr>
        <w:ind w:left="709" w:hanging="709"/>
        <w:jc w:val="both"/>
        <w:rPr>
          <w:rFonts w:ascii="Arial" w:hAnsi="Arial" w:cs="Arial"/>
          <w:b/>
        </w:rPr>
      </w:pPr>
      <w:r w:rsidRPr="00F479C2">
        <w:rPr>
          <w:rFonts w:ascii="Arial" w:hAnsi="Arial" w:cs="Arial"/>
          <w:b/>
        </w:rPr>
        <w:t>Investment Policy</w:t>
      </w:r>
    </w:p>
    <w:p w14:paraId="7EA2A639" w14:textId="77777777" w:rsidR="00DF4A60" w:rsidRPr="00DF4A60" w:rsidRDefault="00DF4A60" w:rsidP="00DF4A60">
      <w:pPr>
        <w:widowControl w:val="0"/>
        <w:ind w:left="709"/>
        <w:jc w:val="both"/>
        <w:rPr>
          <w:rFonts w:ascii="Arial" w:hAnsi="Arial" w:cs="Arial"/>
          <w:b/>
        </w:rPr>
      </w:pPr>
    </w:p>
    <w:p w14:paraId="2E6CB417" w14:textId="64612DAE" w:rsidR="00E3289C" w:rsidRPr="00DF4A60" w:rsidRDefault="00E3289C" w:rsidP="00DF4A60">
      <w:pPr>
        <w:pStyle w:val="ListParagraph"/>
        <w:numPr>
          <w:ilvl w:val="2"/>
          <w:numId w:val="19"/>
        </w:numPr>
        <w:ind w:left="709" w:hanging="709"/>
        <w:jc w:val="both"/>
        <w:rPr>
          <w:rFonts w:ascii="Arial" w:hAnsi="Arial" w:cs="Arial"/>
          <w:b/>
        </w:rPr>
      </w:pPr>
      <w:r w:rsidRPr="00DF4A60">
        <w:rPr>
          <w:rFonts w:ascii="Arial" w:hAnsi="Arial" w:cs="Arial"/>
          <w:spacing w:val="-5"/>
          <w:szCs w:val="20"/>
        </w:rPr>
        <w:t>The Authority’s investment policy has regard to the following: -</w:t>
      </w:r>
    </w:p>
    <w:p w14:paraId="5BBEBD3F" w14:textId="77777777" w:rsidR="00E3289C" w:rsidRPr="00F23A42" w:rsidRDefault="00E3289C" w:rsidP="00DF4A60">
      <w:pPr>
        <w:numPr>
          <w:ilvl w:val="0"/>
          <w:numId w:val="21"/>
        </w:numPr>
        <w:spacing w:before="120"/>
        <w:ind w:left="1135" w:hanging="284"/>
        <w:jc w:val="both"/>
        <w:rPr>
          <w:rFonts w:ascii="Arial" w:hAnsi="Arial" w:cs="Arial"/>
          <w:szCs w:val="20"/>
          <w:lang w:eastAsia="en-GB"/>
        </w:rPr>
      </w:pPr>
      <w:r w:rsidRPr="00F23A42">
        <w:rPr>
          <w:rFonts w:ascii="Arial" w:hAnsi="Arial" w:cs="Arial"/>
          <w:szCs w:val="20"/>
          <w:lang w:eastAsia="en-GB"/>
        </w:rPr>
        <w:t>MHCLG’s Guidance on Local Government Investments (“the Guidance”)</w:t>
      </w:r>
    </w:p>
    <w:p w14:paraId="508296CA" w14:textId="77777777" w:rsidR="00DF4A60" w:rsidRDefault="00E3289C" w:rsidP="00DF4A60">
      <w:pPr>
        <w:numPr>
          <w:ilvl w:val="0"/>
          <w:numId w:val="21"/>
        </w:numPr>
        <w:spacing w:before="120"/>
        <w:ind w:left="1135" w:hanging="284"/>
        <w:jc w:val="both"/>
        <w:rPr>
          <w:rFonts w:ascii="Arial" w:hAnsi="Arial" w:cs="Arial"/>
          <w:szCs w:val="20"/>
          <w:lang w:eastAsia="en-GB"/>
        </w:rPr>
      </w:pPr>
      <w:r w:rsidRPr="00F23A42">
        <w:rPr>
          <w:rFonts w:ascii="Arial" w:hAnsi="Arial" w:cs="Arial"/>
          <w:szCs w:val="20"/>
          <w:lang w:eastAsia="en-GB"/>
        </w:rPr>
        <w:t>CIPFA Treasury Management in Public Services Code of Practice and Cross Sectoral G</w:t>
      </w:r>
      <w:r w:rsidR="00DF4A60">
        <w:rPr>
          <w:rFonts w:ascii="Arial" w:hAnsi="Arial" w:cs="Arial"/>
          <w:szCs w:val="20"/>
          <w:lang w:eastAsia="en-GB"/>
        </w:rPr>
        <w:t>uidance Notes 2021 (“the Code”)</w:t>
      </w:r>
    </w:p>
    <w:p w14:paraId="235D00A2" w14:textId="173111BF" w:rsidR="00E3289C" w:rsidRPr="00DF4A60" w:rsidRDefault="00E3289C" w:rsidP="00DF4A60">
      <w:pPr>
        <w:numPr>
          <w:ilvl w:val="0"/>
          <w:numId w:val="21"/>
        </w:numPr>
        <w:spacing w:before="120"/>
        <w:ind w:left="1135" w:hanging="284"/>
        <w:jc w:val="both"/>
        <w:rPr>
          <w:rFonts w:ascii="Arial" w:hAnsi="Arial" w:cs="Arial"/>
          <w:szCs w:val="20"/>
          <w:lang w:eastAsia="en-GB"/>
        </w:rPr>
      </w:pPr>
      <w:r w:rsidRPr="00DF4A60">
        <w:rPr>
          <w:rFonts w:ascii="Arial" w:hAnsi="Arial" w:cs="Arial"/>
          <w:szCs w:val="20"/>
          <w:lang w:eastAsia="en-GB"/>
        </w:rPr>
        <w:t xml:space="preserve">CIPFA Treasury Management Guidance Notes </w:t>
      </w:r>
      <w:r w:rsidRPr="00DF4A60">
        <w:rPr>
          <w:rFonts w:ascii="Arial" w:hAnsi="Arial" w:cs="Arial"/>
          <w:sz w:val="20"/>
          <w:szCs w:val="20"/>
          <w:lang w:eastAsia="en-GB"/>
        </w:rPr>
        <w:t xml:space="preserve">2021  </w:t>
      </w:r>
    </w:p>
    <w:p w14:paraId="41EE18E6" w14:textId="77777777" w:rsidR="00E3289C" w:rsidRPr="00F479C2" w:rsidRDefault="00E3289C" w:rsidP="00DF4A60">
      <w:pPr>
        <w:widowControl w:val="0"/>
        <w:jc w:val="both"/>
        <w:rPr>
          <w:rFonts w:ascii="Arial" w:hAnsi="Arial" w:cs="Arial"/>
        </w:rPr>
      </w:pPr>
    </w:p>
    <w:p w14:paraId="663E056C" w14:textId="0BFFA213" w:rsidR="00E3289C" w:rsidRPr="00DF4A60" w:rsidRDefault="00E3289C" w:rsidP="00DF4A60">
      <w:pPr>
        <w:pStyle w:val="ListParagraph"/>
        <w:numPr>
          <w:ilvl w:val="2"/>
          <w:numId w:val="19"/>
        </w:numPr>
        <w:ind w:left="709" w:hanging="709"/>
        <w:jc w:val="both"/>
        <w:rPr>
          <w:rFonts w:ascii="Arial" w:hAnsi="Arial" w:cs="Arial"/>
          <w:spacing w:val="-5"/>
          <w:szCs w:val="20"/>
        </w:rPr>
      </w:pPr>
      <w:r w:rsidRPr="00DF4A60">
        <w:rPr>
          <w:rFonts w:ascii="Arial" w:hAnsi="Arial" w:cs="Arial"/>
          <w:spacing w:val="-5"/>
          <w:szCs w:val="20"/>
        </w:rPr>
        <w:t>The Council’s investment priorities will be:</w:t>
      </w:r>
    </w:p>
    <w:p w14:paraId="104091F9" w14:textId="77777777" w:rsidR="00E3289C" w:rsidRPr="00F479C2" w:rsidRDefault="00E3289C" w:rsidP="00DF4A60">
      <w:pPr>
        <w:widowControl w:val="0"/>
        <w:spacing w:before="120"/>
        <w:ind w:left="1134" w:hanging="283"/>
        <w:jc w:val="both"/>
        <w:rPr>
          <w:rFonts w:ascii="Arial" w:hAnsi="Arial" w:cs="Arial"/>
        </w:rPr>
      </w:pPr>
      <w:r w:rsidRPr="00F479C2">
        <w:rPr>
          <w:rFonts w:ascii="Arial" w:hAnsi="Arial" w:cs="Arial"/>
        </w:rPr>
        <w:t>(a)   the Security of capital;</w:t>
      </w:r>
    </w:p>
    <w:p w14:paraId="182CB7D4" w14:textId="77777777" w:rsidR="00E3289C" w:rsidRPr="00F479C2" w:rsidRDefault="00E3289C" w:rsidP="00DF4A60">
      <w:pPr>
        <w:widowControl w:val="0"/>
        <w:spacing w:before="120"/>
        <w:ind w:left="1134" w:hanging="283"/>
        <w:jc w:val="both"/>
        <w:rPr>
          <w:rFonts w:ascii="Arial" w:hAnsi="Arial" w:cs="Arial"/>
        </w:rPr>
      </w:pPr>
      <w:r w:rsidRPr="00F479C2">
        <w:rPr>
          <w:rFonts w:ascii="Arial" w:hAnsi="Arial" w:cs="Arial"/>
        </w:rPr>
        <w:t>(b)   the Liquidity of its investments; and</w:t>
      </w:r>
    </w:p>
    <w:p w14:paraId="0695069A" w14:textId="77777777" w:rsidR="00E3289C" w:rsidRPr="00F479C2" w:rsidRDefault="00E3289C" w:rsidP="00DF4A60">
      <w:pPr>
        <w:widowControl w:val="0"/>
        <w:spacing w:before="120"/>
        <w:ind w:left="1134" w:hanging="283"/>
        <w:jc w:val="both"/>
        <w:rPr>
          <w:rFonts w:ascii="Arial" w:hAnsi="Arial" w:cs="Arial"/>
        </w:rPr>
      </w:pPr>
      <w:r w:rsidRPr="00F479C2">
        <w:rPr>
          <w:rFonts w:ascii="Arial" w:hAnsi="Arial" w:cs="Arial"/>
        </w:rPr>
        <w:t xml:space="preserve">(c)   the Yield. </w:t>
      </w:r>
    </w:p>
    <w:p w14:paraId="7C1443D2" w14:textId="77777777" w:rsidR="00D70269" w:rsidRDefault="00D70269" w:rsidP="00DF4A60">
      <w:pPr>
        <w:jc w:val="both"/>
        <w:rPr>
          <w:rFonts w:ascii="Arial" w:hAnsi="Arial"/>
        </w:rPr>
      </w:pPr>
    </w:p>
    <w:p w14:paraId="6A1E9BBB" w14:textId="77777777" w:rsidR="00DF4A60" w:rsidRDefault="00E3289C" w:rsidP="00DF4A60">
      <w:pPr>
        <w:pStyle w:val="ListParagraph"/>
        <w:numPr>
          <w:ilvl w:val="2"/>
          <w:numId w:val="19"/>
        </w:numPr>
        <w:ind w:left="709" w:hanging="709"/>
        <w:jc w:val="both"/>
        <w:rPr>
          <w:rFonts w:ascii="Arial" w:hAnsi="Arial" w:cs="Arial"/>
        </w:rPr>
      </w:pPr>
      <w:r w:rsidRPr="00DF4A60">
        <w:rPr>
          <w:rFonts w:ascii="Arial" w:hAnsi="Arial" w:cs="Arial"/>
          <w:spacing w:val="-5"/>
          <w:szCs w:val="20"/>
        </w:rPr>
        <w:t>The Authority will aim to achieve the optimum return (yield) on its investments</w:t>
      </w:r>
      <w:r w:rsidRPr="00D70269">
        <w:rPr>
          <w:rFonts w:ascii="Arial" w:hAnsi="Arial" w:cs="Arial"/>
        </w:rPr>
        <w:t xml:space="preserve"> commensurate with proper levels of security and liquidity and with regard to</w:t>
      </w:r>
      <w:r w:rsidR="00DF4A60">
        <w:rPr>
          <w:rFonts w:ascii="Arial" w:hAnsi="Arial" w:cs="Arial"/>
        </w:rPr>
        <w:t xml:space="preserve"> the Authority’s risk appetite.</w:t>
      </w:r>
    </w:p>
    <w:p w14:paraId="1E513D07" w14:textId="77777777" w:rsidR="00DF4A60" w:rsidRDefault="00DF4A60" w:rsidP="00DF4A60">
      <w:pPr>
        <w:pStyle w:val="ListParagraph"/>
        <w:jc w:val="both"/>
        <w:rPr>
          <w:rFonts w:ascii="Arial" w:hAnsi="Arial" w:cs="Arial"/>
        </w:rPr>
      </w:pPr>
    </w:p>
    <w:p w14:paraId="73956DAA" w14:textId="5483ED80" w:rsidR="00E3289C" w:rsidRPr="00DF4A60" w:rsidRDefault="00E3289C" w:rsidP="00DF4A60">
      <w:pPr>
        <w:pStyle w:val="ListParagraph"/>
        <w:numPr>
          <w:ilvl w:val="2"/>
          <w:numId w:val="19"/>
        </w:numPr>
        <w:ind w:left="709" w:hanging="709"/>
        <w:jc w:val="both"/>
        <w:rPr>
          <w:rFonts w:ascii="Arial" w:hAnsi="Arial" w:cs="Arial"/>
        </w:rPr>
      </w:pPr>
      <w:r w:rsidRPr="00DF4A60">
        <w:rPr>
          <w:rFonts w:ascii="Arial" w:hAnsi="Arial" w:cs="Arial"/>
          <w:spacing w:val="-5"/>
          <w:szCs w:val="20"/>
        </w:rPr>
        <w:t xml:space="preserve">The above guidance from MHCLG and CIPFA places a high priority on the </w:t>
      </w:r>
      <w:r w:rsidRPr="00DF4A60">
        <w:rPr>
          <w:rFonts w:ascii="Arial" w:hAnsi="Arial" w:cs="Arial"/>
        </w:rPr>
        <w:t>management of risk. This Authority has adopted a prudent approach to managing risk and defines its risk appetite by the following means: -</w:t>
      </w:r>
    </w:p>
    <w:p w14:paraId="469D00D4" w14:textId="77777777" w:rsidR="00E3289C" w:rsidRDefault="00E3289C" w:rsidP="00DF4A60">
      <w:pPr>
        <w:jc w:val="both"/>
        <w:rPr>
          <w:rFonts w:ascii="Arial" w:hAnsi="Arial" w:cs="Arial"/>
        </w:rPr>
      </w:pPr>
    </w:p>
    <w:p w14:paraId="1035986A" w14:textId="77777777" w:rsidR="00E3289C" w:rsidRPr="00F52331" w:rsidRDefault="00E3289C" w:rsidP="00DF4A60">
      <w:pPr>
        <w:pStyle w:val="ListParagraph"/>
        <w:numPr>
          <w:ilvl w:val="0"/>
          <w:numId w:val="22"/>
        </w:numPr>
        <w:ind w:left="1276" w:hanging="425"/>
        <w:jc w:val="both"/>
        <w:rPr>
          <w:rFonts w:ascii="Arial" w:hAnsi="Arial" w:cs="Arial"/>
        </w:rPr>
      </w:pPr>
      <w:r w:rsidRPr="00F52331">
        <w:rPr>
          <w:rFonts w:ascii="Arial" w:hAnsi="Arial" w:cs="Arial"/>
        </w:rPr>
        <w:t xml:space="preserve">Minimum acceptable credit criteria are applied in order to generate a list of highly creditworthy counterparties.  This also enables diversification and thus avoidance of concentration risk. The key ratings used to monitor counterparties are the short-term and long-term ratings.  </w:t>
      </w:r>
    </w:p>
    <w:p w14:paraId="7324D45A" w14:textId="77777777" w:rsidR="00E3289C" w:rsidRPr="00F52331" w:rsidRDefault="00E3289C" w:rsidP="00DF4A60">
      <w:pPr>
        <w:pStyle w:val="ListParagraph"/>
        <w:ind w:left="1276" w:hanging="425"/>
        <w:jc w:val="both"/>
        <w:rPr>
          <w:rFonts w:ascii="Arial" w:hAnsi="Arial" w:cs="Arial"/>
        </w:rPr>
      </w:pPr>
    </w:p>
    <w:p w14:paraId="66F36339" w14:textId="77777777" w:rsidR="00E3289C" w:rsidRPr="00F52331" w:rsidRDefault="00E3289C" w:rsidP="00DF4A60">
      <w:pPr>
        <w:pStyle w:val="ListParagraph"/>
        <w:numPr>
          <w:ilvl w:val="0"/>
          <w:numId w:val="22"/>
        </w:numPr>
        <w:ind w:left="1276" w:hanging="425"/>
        <w:jc w:val="both"/>
        <w:rPr>
          <w:rFonts w:ascii="Arial" w:hAnsi="Arial" w:cs="Arial"/>
        </w:rPr>
      </w:pPr>
      <w:r w:rsidRPr="00F52331">
        <w:rPr>
          <w:rFonts w:ascii="Arial" w:hAnsi="Arial" w:cs="Arial"/>
        </w:rPr>
        <w:t xml:space="preserve">Other information: ratings will not be the sole determinant of the quality of an institution; it is important to continually assess and monitor the financial sector on both a micro and macro basis and in relation to the economic and political environments in which institutions operate. The assessment will also take account of information that reflects the opinion of the markets. To achieve this consideration the Authority will engage with its advisors to maintain a monitor on market pricing such as “credit default swaps” and overlay that information on top of the credit ratings. </w:t>
      </w:r>
    </w:p>
    <w:p w14:paraId="22327C84" w14:textId="77777777" w:rsidR="00E3289C" w:rsidRPr="00F52331" w:rsidRDefault="00E3289C" w:rsidP="00DF4A60">
      <w:pPr>
        <w:pStyle w:val="ListParagraph"/>
        <w:ind w:left="1276" w:hanging="425"/>
        <w:rPr>
          <w:rFonts w:ascii="Arial" w:hAnsi="Arial" w:cs="Arial"/>
        </w:rPr>
      </w:pPr>
    </w:p>
    <w:p w14:paraId="05DFA2A2" w14:textId="77777777" w:rsidR="00E3289C" w:rsidRPr="00F52331" w:rsidRDefault="00E3289C" w:rsidP="00DF4A60">
      <w:pPr>
        <w:pStyle w:val="ListParagraph"/>
        <w:numPr>
          <w:ilvl w:val="0"/>
          <w:numId w:val="22"/>
        </w:numPr>
        <w:ind w:left="1276" w:hanging="425"/>
        <w:jc w:val="both"/>
        <w:rPr>
          <w:rFonts w:ascii="Arial" w:hAnsi="Arial" w:cs="Arial"/>
        </w:rPr>
      </w:pPr>
      <w:r w:rsidRPr="00F52331">
        <w:rPr>
          <w:rFonts w:ascii="Arial" w:hAnsi="Arial" w:cs="Arial"/>
        </w:rPr>
        <w:t>Other information sources used will include the financial press, share price and other such information pertaining to the financial sector in order to establish the most robust scrutiny process on the suitability of potential investment counterparties.</w:t>
      </w:r>
    </w:p>
    <w:p w14:paraId="6F6EC9AF" w14:textId="77777777" w:rsidR="00E3289C" w:rsidRPr="0084004D" w:rsidRDefault="00E3289C" w:rsidP="0084004D">
      <w:pPr>
        <w:rPr>
          <w:rFonts w:ascii="Arial" w:hAnsi="Arial"/>
        </w:rPr>
      </w:pPr>
    </w:p>
    <w:p w14:paraId="083C3E8E" w14:textId="28A79B60" w:rsidR="00E3289C" w:rsidRPr="0084004D" w:rsidRDefault="00D70269" w:rsidP="00DF4A60">
      <w:pPr>
        <w:pStyle w:val="ListParagraph"/>
        <w:numPr>
          <w:ilvl w:val="2"/>
          <w:numId w:val="19"/>
        </w:numPr>
        <w:ind w:left="709" w:hanging="709"/>
        <w:jc w:val="both"/>
        <w:rPr>
          <w:rFonts w:ascii="Arial" w:hAnsi="Arial" w:cs="Arial"/>
        </w:rPr>
      </w:pPr>
      <w:r w:rsidRPr="00DF4A60">
        <w:rPr>
          <w:rFonts w:ascii="Arial" w:hAnsi="Arial" w:cs="Arial"/>
          <w:spacing w:val="-5"/>
          <w:szCs w:val="20"/>
        </w:rPr>
        <w:t>T</w:t>
      </w:r>
      <w:r w:rsidR="00E3289C" w:rsidRPr="00DF4A60">
        <w:rPr>
          <w:rFonts w:ascii="Arial" w:hAnsi="Arial" w:cs="Arial"/>
          <w:spacing w:val="-5"/>
          <w:szCs w:val="20"/>
        </w:rPr>
        <w:t>his Authority has defined the list of types of investment instruments that the</w:t>
      </w:r>
      <w:r w:rsidR="00E3289C" w:rsidRPr="0084004D">
        <w:rPr>
          <w:rFonts w:ascii="Arial" w:hAnsi="Arial" w:cs="Arial"/>
        </w:rPr>
        <w:t xml:space="preserve"> treasury management team are authorised to use. There are two lists under the categories of ‘specified’ and ‘non-specified’ investments</w:t>
      </w:r>
    </w:p>
    <w:p w14:paraId="36208473" w14:textId="5490D214" w:rsidR="00E3289C" w:rsidRPr="0084004D" w:rsidRDefault="00E3289C" w:rsidP="0084004D">
      <w:pPr>
        <w:widowControl w:val="0"/>
        <w:tabs>
          <w:tab w:val="left" w:pos="0"/>
          <w:tab w:val="left" w:pos="1197"/>
        </w:tabs>
        <w:ind w:left="792"/>
        <w:rPr>
          <w:rFonts w:ascii="Arial" w:hAnsi="Arial" w:cs="Arial"/>
        </w:rPr>
      </w:pPr>
    </w:p>
    <w:p w14:paraId="1885FCE2" w14:textId="146F2DA6" w:rsidR="00E3289C" w:rsidRPr="0084004D" w:rsidRDefault="00E3289C" w:rsidP="00DF4A60">
      <w:pPr>
        <w:pStyle w:val="ListParagraph"/>
        <w:numPr>
          <w:ilvl w:val="2"/>
          <w:numId w:val="19"/>
        </w:numPr>
        <w:ind w:left="709" w:hanging="709"/>
        <w:jc w:val="both"/>
        <w:rPr>
          <w:rFonts w:ascii="Arial" w:hAnsi="Arial" w:cs="Arial"/>
        </w:rPr>
      </w:pPr>
      <w:r w:rsidRPr="00DF4A60">
        <w:rPr>
          <w:rFonts w:ascii="Arial" w:hAnsi="Arial" w:cs="Arial"/>
          <w:spacing w:val="-5"/>
          <w:szCs w:val="20"/>
        </w:rPr>
        <w:lastRenderedPageBreak/>
        <w:t>Investments will be made with reference to the core balance and cash flow</w:t>
      </w:r>
      <w:r w:rsidRPr="0084004D">
        <w:rPr>
          <w:rFonts w:ascii="Arial" w:hAnsi="Arial" w:cs="Arial"/>
        </w:rPr>
        <w:t xml:space="preserve"> </w:t>
      </w:r>
      <w:r w:rsidRPr="00DF4A60">
        <w:rPr>
          <w:rFonts w:ascii="Arial" w:hAnsi="Arial" w:cs="Arial"/>
          <w:spacing w:val="-5"/>
          <w:szCs w:val="20"/>
        </w:rPr>
        <w:t>requirements</w:t>
      </w:r>
      <w:r w:rsidRPr="0084004D">
        <w:rPr>
          <w:rFonts w:ascii="Arial" w:hAnsi="Arial" w:cs="Arial"/>
        </w:rPr>
        <w:t xml:space="preserve"> and </w:t>
      </w:r>
      <w:r w:rsidRPr="00DF4A60">
        <w:rPr>
          <w:rFonts w:ascii="Arial" w:hAnsi="Arial" w:cs="Arial"/>
          <w:spacing w:val="-5"/>
          <w:szCs w:val="20"/>
        </w:rPr>
        <w:t>the</w:t>
      </w:r>
      <w:r w:rsidRPr="0084004D">
        <w:rPr>
          <w:rFonts w:ascii="Arial" w:hAnsi="Arial" w:cs="Arial"/>
        </w:rPr>
        <w:t xml:space="preserve"> outlook for short-term interest rates (i.e. rates for investments up to 12 months). Greater returns are usually obtainable by investing for longer periods. While most cash balances are required in order to manage the ups and downs of cash flow (amend as appropriate), where cash sums can be identified that could be invested for longer periods, the value to be obtained from longer term investments will be carefully assessed. </w:t>
      </w:r>
    </w:p>
    <w:p w14:paraId="67431A0E" w14:textId="77777777" w:rsidR="00E3289C" w:rsidRPr="0084004D" w:rsidRDefault="00E3289C" w:rsidP="0084004D">
      <w:pPr>
        <w:widowControl w:val="0"/>
        <w:tabs>
          <w:tab w:val="left" w:pos="0"/>
          <w:tab w:val="left" w:pos="1197"/>
        </w:tabs>
        <w:ind w:left="792"/>
        <w:rPr>
          <w:rFonts w:ascii="Arial" w:hAnsi="Arial" w:cs="Arial"/>
        </w:rPr>
      </w:pPr>
    </w:p>
    <w:p w14:paraId="144B6E85" w14:textId="216EF1D2" w:rsidR="00E3289C" w:rsidRPr="0084004D" w:rsidRDefault="00E3289C" w:rsidP="00DF4A60">
      <w:pPr>
        <w:pStyle w:val="ListParagraph"/>
        <w:numPr>
          <w:ilvl w:val="2"/>
          <w:numId w:val="19"/>
        </w:numPr>
        <w:ind w:left="709" w:hanging="709"/>
        <w:jc w:val="both"/>
        <w:rPr>
          <w:rFonts w:ascii="Arial" w:hAnsi="Arial" w:cs="Arial"/>
        </w:rPr>
      </w:pPr>
      <w:r w:rsidRPr="00DF4A60">
        <w:rPr>
          <w:rFonts w:ascii="Arial" w:hAnsi="Arial" w:cs="Arial"/>
          <w:spacing w:val="-5"/>
          <w:szCs w:val="20"/>
        </w:rPr>
        <w:t>If it is thought that Bank Rate is likely to rise significantly within the time horizon</w:t>
      </w:r>
      <w:r w:rsidRPr="0084004D">
        <w:rPr>
          <w:rFonts w:ascii="Arial" w:hAnsi="Arial" w:cs="Arial"/>
        </w:rPr>
        <w:t xml:space="preserve"> being considered, then consideration will be given to keeping most investments as being short term. </w:t>
      </w:r>
    </w:p>
    <w:p w14:paraId="2CDB9938" w14:textId="77777777" w:rsidR="00E3289C" w:rsidRPr="0084004D" w:rsidRDefault="00E3289C" w:rsidP="0084004D">
      <w:pPr>
        <w:widowControl w:val="0"/>
        <w:tabs>
          <w:tab w:val="left" w:pos="0"/>
          <w:tab w:val="left" w:pos="1197"/>
        </w:tabs>
        <w:ind w:left="792"/>
        <w:rPr>
          <w:rFonts w:ascii="Arial" w:hAnsi="Arial" w:cs="Arial"/>
        </w:rPr>
      </w:pPr>
    </w:p>
    <w:p w14:paraId="7F91B5F5" w14:textId="2DC97DFF" w:rsidR="00E3289C" w:rsidRPr="0084004D" w:rsidRDefault="00E3289C" w:rsidP="00DF4A60">
      <w:pPr>
        <w:pStyle w:val="ListParagraph"/>
        <w:numPr>
          <w:ilvl w:val="2"/>
          <w:numId w:val="19"/>
        </w:numPr>
        <w:ind w:left="709" w:hanging="709"/>
        <w:jc w:val="both"/>
        <w:rPr>
          <w:rFonts w:ascii="Arial" w:hAnsi="Arial" w:cs="Arial"/>
        </w:rPr>
      </w:pPr>
      <w:r w:rsidRPr="00DF4A60">
        <w:rPr>
          <w:rFonts w:ascii="Arial" w:hAnsi="Arial" w:cs="Arial"/>
          <w:spacing w:val="-5"/>
          <w:szCs w:val="20"/>
        </w:rPr>
        <w:t>Conversely, if it is thought that Bank Rate is likely to fall within that time period,</w:t>
      </w:r>
      <w:r w:rsidRPr="0084004D">
        <w:rPr>
          <w:rFonts w:ascii="Arial" w:hAnsi="Arial" w:cs="Arial"/>
        </w:rPr>
        <w:t xml:space="preserve"> consideration will be given to locking in higher rates currently obtainable, for longer periods.</w:t>
      </w:r>
    </w:p>
    <w:p w14:paraId="13FE7630" w14:textId="77777777" w:rsidR="00E3289C" w:rsidRPr="0084004D" w:rsidRDefault="00E3289C" w:rsidP="0084004D">
      <w:pPr>
        <w:widowControl w:val="0"/>
        <w:tabs>
          <w:tab w:val="left" w:pos="0"/>
          <w:tab w:val="left" w:pos="1197"/>
        </w:tabs>
        <w:ind w:left="792"/>
        <w:rPr>
          <w:rFonts w:ascii="Arial" w:hAnsi="Arial" w:cs="Arial"/>
        </w:rPr>
      </w:pPr>
    </w:p>
    <w:p w14:paraId="2408BE6B" w14:textId="5AA92A83" w:rsidR="00E3289C" w:rsidRPr="0084004D" w:rsidRDefault="00E3289C" w:rsidP="00DF4A60">
      <w:pPr>
        <w:pStyle w:val="ListParagraph"/>
        <w:numPr>
          <w:ilvl w:val="2"/>
          <w:numId w:val="19"/>
        </w:numPr>
        <w:ind w:left="709" w:hanging="709"/>
        <w:jc w:val="both"/>
        <w:rPr>
          <w:rFonts w:ascii="Arial" w:hAnsi="Arial" w:cs="Arial"/>
        </w:rPr>
      </w:pPr>
      <w:r w:rsidRPr="00DF4A60">
        <w:rPr>
          <w:rFonts w:ascii="Arial" w:hAnsi="Arial" w:cs="Arial"/>
          <w:spacing w:val="-5"/>
          <w:szCs w:val="20"/>
        </w:rPr>
        <w:t>However, the Council will also pursue value for money in treasury management</w:t>
      </w:r>
      <w:r w:rsidRPr="0084004D">
        <w:rPr>
          <w:rFonts w:ascii="Arial" w:hAnsi="Arial" w:cs="Arial"/>
        </w:rPr>
        <w:t xml:space="preserve"> and will monitor the yield from investment income. Regular monitoring of investment performance will be carried out during the year</w:t>
      </w:r>
    </w:p>
    <w:p w14:paraId="7E7DE470" w14:textId="77777777" w:rsidR="00E3289C" w:rsidRPr="00187BBA" w:rsidRDefault="00E3289C" w:rsidP="0084004D">
      <w:pPr>
        <w:rPr>
          <w:rFonts w:ascii="Arial" w:hAnsi="Arial"/>
        </w:rPr>
      </w:pPr>
    </w:p>
    <w:p w14:paraId="3EB18729" w14:textId="77777777" w:rsidR="00E3289C" w:rsidRPr="00187BBA" w:rsidRDefault="00E3289C" w:rsidP="00DF4A60">
      <w:pPr>
        <w:widowControl w:val="0"/>
        <w:numPr>
          <w:ilvl w:val="1"/>
          <w:numId w:val="19"/>
        </w:numPr>
        <w:ind w:left="709" w:hanging="709"/>
        <w:rPr>
          <w:rFonts w:ascii="Arial" w:hAnsi="Arial" w:cs="Arial"/>
          <w:b/>
        </w:rPr>
      </w:pPr>
      <w:r w:rsidRPr="00187BBA">
        <w:rPr>
          <w:rFonts w:ascii="Arial" w:hAnsi="Arial" w:cs="Arial"/>
          <w:b/>
        </w:rPr>
        <w:t xml:space="preserve">Interest rate expectations  </w:t>
      </w:r>
    </w:p>
    <w:p w14:paraId="74501D0F" w14:textId="22FEDB4D" w:rsidR="005D07FA" w:rsidRPr="00D70269" w:rsidRDefault="005D07FA" w:rsidP="00D70269">
      <w:pPr>
        <w:widowControl w:val="0"/>
        <w:rPr>
          <w:rFonts w:ascii="Arial" w:hAnsi="Arial"/>
        </w:rPr>
      </w:pPr>
    </w:p>
    <w:p w14:paraId="4677FB78" w14:textId="13793F3E" w:rsidR="00E3289C" w:rsidRPr="0084004D" w:rsidRDefault="00E3289C" w:rsidP="00DF4A60">
      <w:pPr>
        <w:pStyle w:val="ListParagraph"/>
        <w:numPr>
          <w:ilvl w:val="2"/>
          <w:numId w:val="19"/>
        </w:numPr>
        <w:ind w:left="709" w:hanging="709"/>
        <w:jc w:val="both"/>
        <w:rPr>
          <w:rFonts w:ascii="Arial" w:hAnsi="Arial" w:cs="Arial"/>
        </w:rPr>
      </w:pPr>
      <w:r w:rsidRPr="00DF4A60">
        <w:rPr>
          <w:rFonts w:ascii="Arial" w:hAnsi="Arial" w:cs="Arial"/>
          <w:spacing w:val="-5"/>
          <w:szCs w:val="20"/>
        </w:rPr>
        <w:t>Bank</w:t>
      </w:r>
      <w:r w:rsidRPr="0084004D">
        <w:rPr>
          <w:rFonts w:ascii="Arial" w:hAnsi="Arial" w:cs="Arial"/>
        </w:rPr>
        <w:t xml:space="preserve"> Rate forecasts for financial year ends (March) are: </w:t>
      </w:r>
    </w:p>
    <w:p w14:paraId="22A9443A" w14:textId="77777777" w:rsidR="00DF4A60" w:rsidRDefault="00E3289C" w:rsidP="00DF4A60">
      <w:pPr>
        <w:widowControl w:val="0"/>
        <w:numPr>
          <w:ilvl w:val="0"/>
          <w:numId w:val="11"/>
        </w:numPr>
        <w:tabs>
          <w:tab w:val="clear" w:pos="720"/>
        </w:tabs>
        <w:spacing w:before="120"/>
        <w:ind w:left="1276" w:hanging="425"/>
        <w:jc w:val="both"/>
        <w:rPr>
          <w:rFonts w:ascii="Arial" w:hAnsi="Arial" w:cs="Arial"/>
          <w:color w:val="0D0D0D"/>
          <w:spacing w:val="-5"/>
        </w:rPr>
      </w:pPr>
      <w:r w:rsidRPr="00187BBA">
        <w:rPr>
          <w:rFonts w:ascii="Arial" w:hAnsi="Arial" w:cs="Arial"/>
          <w:color w:val="0D0D0D"/>
          <w:spacing w:val="-5"/>
        </w:rPr>
        <w:t>202</w:t>
      </w:r>
      <w:r>
        <w:rPr>
          <w:rFonts w:ascii="Arial" w:hAnsi="Arial" w:cs="Arial"/>
          <w:color w:val="0D0D0D"/>
          <w:spacing w:val="-5"/>
        </w:rPr>
        <w:t>6</w:t>
      </w:r>
      <w:r w:rsidRPr="00187BBA">
        <w:rPr>
          <w:rFonts w:ascii="Arial" w:hAnsi="Arial" w:cs="Arial"/>
          <w:color w:val="0D0D0D"/>
          <w:spacing w:val="-5"/>
        </w:rPr>
        <w:tab/>
      </w:r>
      <w:r>
        <w:rPr>
          <w:rFonts w:ascii="Arial" w:hAnsi="Arial" w:cs="Arial"/>
          <w:color w:val="0D0D0D"/>
          <w:spacing w:val="-5"/>
        </w:rPr>
        <w:t>3.75</w:t>
      </w:r>
      <w:r w:rsidRPr="00187BBA">
        <w:rPr>
          <w:rFonts w:ascii="Arial" w:hAnsi="Arial" w:cs="Arial"/>
          <w:color w:val="0D0D0D"/>
          <w:spacing w:val="-5"/>
        </w:rPr>
        <w:t>%</w:t>
      </w:r>
    </w:p>
    <w:p w14:paraId="0C1775F7" w14:textId="77777777" w:rsidR="00DF4A60" w:rsidRDefault="00E3289C" w:rsidP="00DF4A60">
      <w:pPr>
        <w:widowControl w:val="0"/>
        <w:numPr>
          <w:ilvl w:val="0"/>
          <w:numId w:val="11"/>
        </w:numPr>
        <w:tabs>
          <w:tab w:val="clear" w:pos="720"/>
        </w:tabs>
        <w:spacing w:before="120"/>
        <w:ind w:left="1276" w:hanging="425"/>
        <w:jc w:val="both"/>
        <w:rPr>
          <w:rFonts w:ascii="Arial" w:hAnsi="Arial" w:cs="Arial"/>
          <w:color w:val="0D0D0D"/>
          <w:spacing w:val="-5"/>
        </w:rPr>
      </w:pPr>
      <w:r w:rsidRPr="00DF4A60">
        <w:rPr>
          <w:rFonts w:ascii="Arial" w:hAnsi="Arial" w:cs="Arial"/>
          <w:color w:val="0D0D0D"/>
          <w:spacing w:val="-5"/>
        </w:rPr>
        <w:t>2027</w:t>
      </w:r>
      <w:r w:rsidRPr="00DF4A60">
        <w:rPr>
          <w:rFonts w:ascii="Arial" w:hAnsi="Arial" w:cs="Arial"/>
          <w:color w:val="0D0D0D"/>
          <w:spacing w:val="-5"/>
        </w:rPr>
        <w:tab/>
        <w:t>3.25</w:t>
      </w:r>
      <w:r w:rsidR="00DF4A60">
        <w:rPr>
          <w:rFonts w:ascii="Arial" w:hAnsi="Arial" w:cs="Arial"/>
          <w:color w:val="0D0D0D"/>
          <w:spacing w:val="-5"/>
        </w:rPr>
        <w:t>%</w:t>
      </w:r>
    </w:p>
    <w:p w14:paraId="27FD30A0" w14:textId="01253965" w:rsidR="00E3289C" w:rsidRPr="00DF4A60" w:rsidRDefault="00E3289C" w:rsidP="00DF4A60">
      <w:pPr>
        <w:widowControl w:val="0"/>
        <w:numPr>
          <w:ilvl w:val="0"/>
          <w:numId w:val="11"/>
        </w:numPr>
        <w:tabs>
          <w:tab w:val="clear" w:pos="720"/>
        </w:tabs>
        <w:spacing w:before="120"/>
        <w:ind w:left="1276" w:hanging="425"/>
        <w:jc w:val="both"/>
        <w:rPr>
          <w:rFonts w:ascii="Arial" w:hAnsi="Arial" w:cs="Arial"/>
          <w:color w:val="0D0D0D"/>
          <w:spacing w:val="-5"/>
        </w:rPr>
      </w:pPr>
      <w:r w:rsidRPr="00DF4A60">
        <w:rPr>
          <w:rFonts w:ascii="Arial" w:hAnsi="Arial" w:cs="Arial"/>
          <w:color w:val="0D0D0D"/>
          <w:spacing w:val="-5"/>
        </w:rPr>
        <w:t>2028</w:t>
      </w:r>
      <w:r w:rsidRPr="00DF4A60">
        <w:rPr>
          <w:rFonts w:ascii="Arial" w:hAnsi="Arial" w:cs="Arial"/>
          <w:color w:val="0D0D0D"/>
          <w:spacing w:val="-5"/>
        </w:rPr>
        <w:tab/>
        <w:t>3.25%</w:t>
      </w:r>
    </w:p>
    <w:p w14:paraId="373F4490" w14:textId="77777777" w:rsidR="00E3289C" w:rsidRPr="00187BBA" w:rsidRDefault="00E3289C" w:rsidP="00E3289C">
      <w:pPr>
        <w:widowControl w:val="0"/>
        <w:ind w:left="709"/>
        <w:jc w:val="both"/>
        <w:rPr>
          <w:rFonts w:ascii="Arial" w:hAnsi="Arial"/>
        </w:rPr>
      </w:pPr>
    </w:p>
    <w:p w14:paraId="11362B5F" w14:textId="17BE01FE" w:rsidR="00E3289C" w:rsidRPr="0084004D" w:rsidRDefault="00E3289C" w:rsidP="00DF4A60">
      <w:pPr>
        <w:pStyle w:val="ListParagraph"/>
        <w:numPr>
          <w:ilvl w:val="2"/>
          <w:numId w:val="19"/>
        </w:numPr>
        <w:ind w:left="709" w:hanging="709"/>
        <w:jc w:val="both"/>
        <w:rPr>
          <w:rFonts w:ascii="Arial" w:hAnsi="Arial" w:cs="Arial"/>
        </w:rPr>
      </w:pPr>
      <w:r w:rsidRPr="0084004D">
        <w:rPr>
          <w:rFonts w:ascii="Arial" w:hAnsi="Arial" w:cs="Arial"/>
        </w:rPr>
        <w:t>There are risks included in the Bank Rate forecasts which include:</w:t>
      </w:r>
    </w:p>
    <w:p w14:paraId="662A93EE" w14:textId="77777777" w:rsidR="00E3289C" w:rsidRPr="00187BBA" w:rsidRDefault="00E3289C" w:rsidP="00DF4A60">
      <w:pPr>
        <w:widowControl w:val="0"/>
        <w:numPr>
          <w:ilvl w:val="0"/>
          <w:numId w:val="11"/>
        </w:numPr>
        <w:tabs>
          <w:tab w:val="clear" w:pos="720"/>
        </w:tabs>
        <w:spacing w:before="120"/>
        <w:ind w:left="1276" w:hanging="425"/>
        <w:jc w:val="both"/>
        <w:rPr>
          <w:rFonts w:ascii="Arial" w:hAnsi="Arial" w:cs="Arial"/>
          <w:color w:val="0D0D0D"/>
          <w:spacing w:val="-5"/>
        </w:rPr>
      </w:pPr>
      <w:r w:rsidRPr="00187BBA">
        <w:rPr>
          <w:rFonts w:ascii="Arial" w:hAnsi="Arial" w:cs="Arial"/>
          <w:color w:val="0D0D0D"/>
          <w:spacing w:val="-5"/>
        </w:rPr>
        <w:t>Labour and supply shortages would prove to be disruptive and depress economic activity.</w:t>
      </w:r>
    </w:p>
    <w:p w14:paraId="0A7A090D" w14:textId="77777777" w:rsidR="00E3289C" w:rsidRPr="00187BBA" w:rsidRDefault="00E3289C" w:rsidP="00DF4A60">
      <w:pPr>
        <w:widowControl w:val="0"/>
        <w:numPr>
          <w:ilvl w:val="0"/>
          <w:numId w:val="11"/>
        </w:numPr>
        <w:tabs>
          <w:tab w:val="clear" w:pos="720"/>
        </w:tabs>
        <w:spacing w:before="120"/>
        <w:ind w:left="1276" w:hanging="425"/>
        <w:jc w:val="both"/>
        <w:rPr>
          <w:rFonts w:ascii="Arial" w:hAnsi="Arial" w:cs="Arial"/>
          <w:color w:val="0D0D0D"/>
          <w:spacing w:val="-5"/>
        </w:rPr>
      </w:pPr>
      <w:r w:rsidRPr="00187BBA">
        <w:rPr>
          <w:rFonts w:ascii="Arial" w:hAnsi="Arial" w:cs="Arial"/>
          <w:color w:val="0D0D0D"/>
          <w:spacing w:val="-5"/>
        </w:rPr>
        <w:t>The Monetary Policy Committee acting too quickly, or too far, over the next three years to raise Bank Rate and causes UK economic growth, and increases in inflation, to be weaker than expectations.</w:t>
      </w:r>
    </w:p>
    <w:p w14:paraId="06B9E74E" w14:textId="77777777" w:rsidR="00E3289C" w:rsidRPr="00187BBA" w:rsidRDefault="00E3289C" w:rsidP="00DF4A60">
      <w:pPr>
        <w:widowControl w:val="0"/>
        <w:numPr>
          <w:ilvl w:val="0"/>
          <w:numId w:val="11"/>
        </w:numPr>
        <w:tabs>
          <w:tab w:val="clear" w:pos="720"/>
        </w:tabs>
        <w:spacing w:before="120"/>
        <w:ind w:left="1276" w:hanging="425"/>
        <w:jc w:val="both"/>
        <w:rPr>
          <w:rFonts w:ascii="Arial" w:hAnsi="Arial" w:cs="Arial"/>
          <w:color w:val="0D0D0D"/>
          <w:spacing w:val="-5"/>
        </w:rPr>
      </w:pPr>
      <w:r w:rsidRPr="00187BBA">
        <w:rPr>
          <w:rFonts w:ascii="Arial" w:hAnsi="Arial" w:cs="Arial"/>
          <w:color w:val="0D0D0D"/>
          <w:spacing w:val="-5"/>
        </w:rPr>
        <w:t>The Monetary Policy Committee tightening monetary policy too late to ward off building inflationary pressures.</w:t>
      </w:r>
    </w:p>
    <w:p w14:paraId="24EB5BED" w14:textId="77777777" w:rsidR="00E3289C" w:rsidRPr="00187BBA" w:rsidRDefault="00E3289C" w:rsidP="00DF4A60">
      <w:pPr>
        <w:widowControl w:val="0"/>
        <w:numPr>
          <w:ilvl w:val="0"/>
          <w:numId w:val="11"/>
        </w:numPr>
        <w:tabs>
          <w:tab w:val="clear" w:pos="720"/>
        </w:tabs>
        <w:spacing w:before="120"/>
        <w:ind w:left="1276" w:hanging="425"/>
        <w:jc w:val="both"/>
        <w:rPr>
          <w:rFonts w:ascii="Arial" w:hAnsi="Arial" w:cs="Arial"/>
          <w:color w:val="0D0D0D"/>
          <w:spacing w:val="-5"/>
        </w:rPr>
      </w:pPr>
      <w:r w:rsidRPr="00187BBA">
        <w:rPr>
          <w:rFonts w:ascii="Arial" w:hAnsi="Arial" w:cs="Arial"/>
          <w:color w:val="0D0D0D"/>
          <w:spacing w:val="-5"/>
        </w:rPr>
        <w:t>The Government acting too quickly to cut expenditure to balance the national budget.</w:t>
      </w:r>
    </w:p>
    <w:p w14:paraId="74325C99" w14:textId="77777777" w:rsidR="00E3289C" w:rsidRPr="00187BBA" w:rsidRDefault="00E3289C" w:rsidP="00DF4A60">
      <w:pPr>
        <w:widowControl w:val="0"/>
        <w:numPr>
          <w:ilvl w:val="0"/>
          <w:numId w:val="11"/>
        </w:numPr>
        <w:tabs>
          <w:tab w:val="clear" w:pos="720"/>
        </w:tabs>
        <w:spacing w:before="120"/>
        <w:ind w:left="1276" w:hanging="425"/>
        <w:jc w:val="both"/>
        <w:rPr>
          <w:rFonts w:ascii="Arial" w:hAnsi="Arial" w:cs="Arial"/>
          <w:color w:val="0D0D0D"/>
          <w:spacing w:val="-5"/>
        </w:rPr>
      </w:pPr>
      <w:r w:rsidRPr="00187BBA">
        <w:rPr>
          <w:rFonts w:ascii="Arial" w:hAnsi="Arial" w:cs="Arial"/>
          <w:color w:val="0D0D0D"/>
          <w:spacing w:val="-5"/>
        </w:rPr>
        <w:t xml:space="preserve">UK / EU trade arrangements – if there was a major impact on trade flows and financial services due to complications or lack of co-operation in sorting out significant remaining issues. </w:t>
      </w:r>
    </w:p>
    <w:p w14:paraId="4B17610D" w14:textId="77777777" w:rsidR="00E3289C" w:rsidRPr="00187BBA" w:rsidRDefault="00E3289C" w:rsidP="00DF4A60">
      <w:pPr>
        <w:widowControl w:val="0"/>
        <w:numPr>
          <w:ilvl w:val="0"/>
          <w:numId w:val="11"/>
        </w:numPr>
        <w:tabs>
          <w:tab w:val="clear" w:pos="720"/>
        </w:tabs>
        <w:spacing w:before="120"/>
        <w:ind w:left="1276" w:hanging="425"/>
        <w:jc w:val="both"/>
        <w:rPr>
          <w:rFonts w:ascii="Arial" w:hAnsi="Arial" w:cs="Arial"/>
          <w:color w:val="0D0D0D"/>
          <w:spacing w:val="-5"/>
        </w:rPr>
      </w:pPr>
      <w:r w:rsidRPr="00187BBA">
        <w:rPr>
          <w:rFonts w:ascii="Arial" w:hAnsi="Arial" w:cs="Arial"/>
          <w:color w:val="0D0D0D"/>
          <w:spacing w:val="-5"/>
        </w:rPr>
        <w:t>Major stock markets e.g., in the US, become increasingly judged as being over-valued and susceptible to major price corrections. Central banks become increasingly exposed to the “moral hazard” risks of having to buy shares and corporate bonds to reduce the impact of major financial market selloffs on the general economy.</w:t>
      </w:r>
    </w:p>
    <w:p w14:paraId="5AF31925" w14:textId="77777777" w:rsidR="00E3289C" w:rsidRPr="00187BBA" w:rsidRDefault="00E3289C" w:rsidP="00DF4A60">
      <w:pPr>
        <w:widowControl w:val="0"/>
        <w:numPr>
          <w:ilvl w:val="0"/>
          <w:numId w:val="11"/>
        </w:numPr>
        <w:tabs>
          <w:tab w:val="clear" w:pos="720"/>
        </w:tabs>
        <w:spacing w:before="120"/>
        <w:ind w:left="1276" w:hanging="425"/>
        <w:jc w:val="both"/>
        <w:rPr>
          <w:rFonts w:ascii="Arial" w:hAnsi="Arial" w:cs="Arial"/>
          <w:color w:val="0D0D0D"/>
          <w:spacing w:val="-5"/>
        </w:rPr>
      </w:pPr>
      <w:r w:rsidRPr="00187BBA">
        <w:rPr>
          <w:rFonts w:ascii="Arial" w:hAnsi="Arial" w:cs="Arial"/>
          <w:color w:val="0D0D0D"/>
          <w:spacing w:val="-5"/>
        </w:rPr>
        <w:t xml:space="preserve">Geopolitical risks, for example in Ukraine, Iran, North Korea, but also in </w:t>
      </w:r>
      <w:r w:rsidRPr="00187BBA">
        <w:rPr>
          <w:rFonts w:ascii="Arial" w:hAnsi="Arial" w:cs="Arial"/>
          <w:color w:val="0D0D0D"/>
          <w:spacing w:val="-5"/>
        </w:rPr>
        <w:lastRenderedPageBreak/>
        <w:t>Europe and Middle Eastern countries; on-going global power influence struggles between Russia/China/US. These could lead to increasing safe-haven flows.</w:t>
      </w:r>
    </w:p>
    <w:p w14:paraId="3B189016" w14:textId="77777777" w:rsidR="00E3289C" w:rsidRPr="00187BBA" w:rsidRDefault="00E3289C" w:rsidP="00E3289C">
      <w:pPr>
        <w:widowControl w:val="0"/>
        <w:tabs>
          <w:tab w:val="left" w:pos="0"/>
        </w:tabs>
        <w:jc w:val="both"/>
        <w:rPr>
          <w:rFonts w:ascii="Arial" w:hAnsi="Arial"/>
        </w:rPr>
      </w:pPr>
    </w:p>
    <w:p w14:paraId="385C6832" w14:textId="39FC6E44" w:rsidR="00E3289C" w:rsidRPr="0084004D" w:rsidRDefault="00E3289C" w:rsidP="008C15AE">
      <w:pPr>
        <w:widowControl w:val="0"/>
        <w:numPr>
          <w:ilvl w:val="1"/>
          <w:numId w:val="19"/>
        </w:numPr>
        <w:ind w:left="709" w:hanging="709"/>
        <w:jc w:val="both"/>
        <w:rPr>
          <w:rFonts w:ascii="Arial" w:hAnsi="Arial" w:cs="Arial"/>
          <w:b/>
        </w:rPr>
      </w:pPr>
      <w:r w:rsidRPr="0084004D">
        <w:rPr>
          <w:rFonts w:ascii="Arial" w:hAnsi="Arial" w:cs="Arial"/>
          <w:b/>
        </w:rPr>
        <w:t>Types of Investments</w:t>
      </w:r>
    </w:p>
    <w:p w14:paraId="4C161596" w14:textId="77777777" w:rsidR="00E3289C" w:rsidRPr="00F479C2" w:rsidRDefault="00E3289C" w:rsidP="00E3289C">
      <w:pPr>
        <w:widowControl w:val="0"/>
        <w:tabs>
          <w:tab w:val="left" w:pos="0"/>
        </w:tabs>
        <w:ind w:left="792"/>
        <w:rPr>
          <w:rFonts w:ascii="Arial" w:hAnsi="Arial"/>
          <w:b/>
        </w:rPr>
      </w:pPr>
    </w:p>
    <w:p w14:paraId="06470A04" w14:textId="77777777" w:rsidR="00E3289C" w:rsidRPr="00F479C2" w:rsidRDefault="00E3289C" w:rsidP="008C15AE">
      <w:pPr>
        <w:pStyle w:val="ListParagraph"/>
        <w:numPr>
          <w:ilvl w:val="2"/>
          <w:numId w:val="19"/>
        </w:numPr>
        <w:ind w:left="709" w:hanging="709"/>
        <w:jc w:val="both"/>
        <w:rPr>
          <w:rFonts w:ascii="Arial" w:hAnsi="Arial" w:cs="Arial"/>
        </w:rPr>
      </w:pPr>
      <w:r w:rsidRPr="00F479C2">
        <w:rPr>
          <w:rFonts w:ascii="Arial" w:hAnsi="Arial" w:cs="Arial"/>
        </w:rPr>
        <w:t xml:space="preserve">As detailed in the Treasury Code of practice </w:t>
      </w:r>
      <w:r w:rsidRPr="008C15AE">
        <w:rPr>
          <w:rFonts w:ascii="Arial" w:hAnsi="Arial" w:cs="Arial"/>
          <w:i/>
        </w:rPr>
        <w:t>“Local authorities are not constrained by law in the types of investments they may make or the investment instruments they may use”</w:t>
      </w:r>
      <w:r w:rsidRPr="00F479C2">
        <w:rPr>
          <w:rFonts w:ascii="Arial" w:hAnsi="Arial" w:cs="Arial"/>
        </w:rPr>
        <w:t xml:space="preserve">. </w:t>
      </w:r>
      <w:proofErr w:type="gramStart"/>
      <w:r w:rsidRPr="00F479C2">
        <w:rPr>
          <w:rFonts w:ascii="Arial" w:hAnsi="Arial" w:cs="Arial"/>
        </w:rPr>
        <w:t>However</w:t>
      </w:r>
      <w:proofErr w:type="gramEnd"/>
      <w:r w:rsidRPr="00F479C2">
        <w:rPr>
          <w:rFonts w:ascii="Arial" w:hAnsi="Arial" w:cs="Arial"/>
        </w:rPr>
        <w:t xml:space="preserve"> in p</w:t>
      </w:r>
      <w:r>
        <w:rPr>
          <w:rFonts w:ascii="Arial" w:hAnsi="Arial" w:cs="Arial"/>
        </w:rPr>
        <w:t>ractice they are constrained by MHCLG</w:t>
      </w:r>
      <w:r w:rsidRPr="00F479C2">
        <w:rPr>
          <w:rFonts w:ascii="Arial" w:hAnsi="Arial" w:cs="Arial"/>
        </w:rPr>
        <w:t xml:space="preserve"> guidance which stresses </w:t>
      </w:r>
      <w:r w:rsidRPr="008C15AE">
        <w:rPr>
          <w:rFonts w:ascii="Arial" w:hAnsi="Arial" w:cs="Arial"/>
          <w:i/>
        </w:rPr>
        <w:t>“the prudent investment strategy of security, liquidity and yield”</w:t>
      </w:r>
      <w:r w:rsidRPr="00F479C2">
        <w:rPr>
          <w:rFonts w:ascii="Arial" w:hAnsi="Arial" w:cs="Arial"/>
        </w:rPr>
        <w:t xml:space="preserve">. Investment regulations and </w:t>
      </w:r>
      <w:r>
        <w:rPr>
          <w:rFonts w:ascii="Arial" w:hAnsi="Arial" w:cs="Arial"/>
        </w:rPr>
        <w:t xml:space="preserve">MHCLG </w:t>
      </w:r>
      <w:r w:rsidRPr="00F479C2">
        <w:rPr>
          <w:rFonts w:ascii="Arial" w:hAnsi="Arial" w:cs="Arial"/>
        </w:rPr>
        <w:t xml:space="preserve">guidance also </w:t>
      </w:r>
      <w:r w:rsidRPr="008C15AE">
        <w:rPr>
          <w:rFonts w:ascii="Arial" w:hAnsi="Arial" w:cs="Arial"/>
          <w:i/>
        </w:rPr>
        <w:t>“distinguish between ‘specified’ and ‘non-specified’ investments, the latter requiring greater scrutiny by local authorities”</w:t>
      </w:r>
      <w:r w:rsidRPr="00F479C2">
        <w:rPr>
          <w:rFonts w:ascii="Arial" w:hAnsi="Arial" w:cs="Arial"/>
        </w:rPr>
        <w:t xml:space="preserve">. </w:t>
      </w:r>
    </w:p>
    <w:p w14:paraId="6E57EBDB" w14:textId="77777777" w:rsidR="00E3289C" w:rsidRPr="00F479C2" w:rsidRDefault="00E3289C" w:rsidP="00E3289C">
      <w:pPr>
        <w:widowControl w:val="0"/>
        <w:tabs>
          <w:tab w:val="left" w:pos="-142"/>
          <w:tab w:val="left" w:pos="0"/>
        </w:tabs>
        <w:jc w:val="both"/>
        <w:rPr>
          <w:rFonts w:ascii="Arial" w:hAnsi="Arial"/>
        </w:rPr>
      </w:pPr>
    </w:p>
    <w:p w14:paraId="3E001770" w14:textId="77777777" w:rsidR="00E3289C" w:rsidRPr="00F479C2" w:rsidRDefault="00E3289C" w:rsidP="008C15AE">
      <w:pPr>
        <w:pStyle w:val="ListParagraph"/>
        <w:numPr>
          <w:ilvl w:val="2"/>
          <w:numId w:val="19"/>
        </w:numPr>
        <w:ind w:left="709" w:hanging="709"/>
        <w:jc w:val="both"/>
        <w:rPr>
          <w:rFonts w:ascii="Arial" w:hAnsi="Arial" w:cs="Arial"/>
        </w:rPr>
      </w:pPr>
      <w:r w:rsidRPr="00F479C2">
        <w:rPr>
          <w:rFonts w:ascii="Arial" w:hAnsi="Arial" w:cs="Arial"/>
        </w:rPr>
        <w:t>Investment instruments identified for use in the financial year are listed below under the ‘specified’ and ‘non-specified’ investment categories.</w:t>
      </w:r>
    </w:p>
    <w:p w14:paraId="248FE64D" w14:textId="77777777" w:rsidR="00E3289C" w:rsidRPr="00F479C2" w:rsidRDefault="00E3289C" w:rsidP="00E3289C">
      <w:pPr>
        <w:pStyle w:val="ListParagraph"/>
        <w:rPr>
          <w:rFonts w:ascii="Arial" w:hAnsi="Arial" w:cs="Arial"/>
          <w:b/>
        </w:rPr>
      </w:pPr>
    </w:p>
    <w:p w14:paraId="3F82DDCE" w14:textId="05D254C3" w:rsidR="00E3289C" w:rsidRPr="00F479C2" w:rsidRDefault="00E3289C" w:rsidP="008C15AE">
      <w:pPr>
        <w:pStyle w:val="ListParagraph"/>
        <w:numPr>
          <w:ilvl w:val="2"/>
          <w:numId w:val="19"/>
        </w:numPr>
        <w:ind w:left="709" w:hanging="709"/>
        <w:jc w:val="both"/>
        <w:rPr>
          <w:rFonts w:ascii="Arial" w:hAnsi="Arial" w:cs="Arial"/>
        </w:rPr>
      </w:pPr>
      <w:r w:rsidRPr="008C15AE">
        <w:rPr>
          <w:rFonts w:ascii="Arial" w:hAnsi="Arial" w:cs="Arial"/>
          <w:b/>
        </w:rPr>
        <w:t>Specified Investments</w:t>
      </w:r>
      <w:r w:rsidRPr="008C15AE">
        <w:rPr>
          <w:rFonts w:ascii="Arial" w:hAnsi="Arial" w:cs="Arial"/>
        </w:rPr>
        <w:t xml:space="preserve"> – </w:t>
      </w:r>
      <w:r w:rsidRPr="00F479C2">
        <w:rPr>
          <w:rFonts w:ascii="Arial" w:hAnsi="Arial" w:cs="Arial"/>
        </w:rPr>
        <w:t xml:space="preserve">The Council will invest in “specified” investments that meet the criteria of a “specified” investment as detailed in the </w:t>
      </w:r>
      <w:r w:rsidR="008C15AE">
        <w:rPr>
          <w:rFonts w:ascii="Arial" w:hAnsi="Arial" w:cs="Arial"/>
        </w:rPr>
        <w:t>MHCLG</w:t>
      </w:r>
      <w:r w:rsidRPr="00F479C2">
        <w:rPr>
          <w:rFonts w:ascii="Arial" w:hAnsi="Arial" w:cs="Arial"/>
        </w:rPr>
        <w:t xml:space="preserve"> guidance. These will be those that will have high security and high liquidity, denominated in sterling and not a </w:t>
      </w:r>
      <w:proofErr w:type="gramStart"/>
      <w:r w:rsidRPr="00F479C2">
        <w:rPr>
          <w:rFonts w:ascii="Arial" w:hAnsi="Arial" w:cs="Arial"/>
        </w:rPr>
        <w:t>long term</w:t>
      </w:r>
      <w:proofErr w:type="gramEnd"/>
      <w:r w:rsidRPr="00F479C2">
        <w:rPr>
          <w:rFonts w:ascii="Arial" w:hAnsi="Arial" w:cs="Arial"/>
        </w:rPr>
        <w:t xml:space="preserve"> investment i.e. maturity date of no more than 12 months. The investment is not defined as capital expenditure.</w:t>
      </w:r>
    </w:p>
    <w:p w14:paraId="1A840CC4" w14:textId="77777777" w:rsidR="00E3289C" w:rsidRPr="00F479C2" w:rsidRDefault="00E3289C" w:rsidP="00E3289C">
      <w:pPr>
        <w:pStyle w:val="ListParagraph"/>
        <w:rPr>
          <w:rFonts w:ascii="Arial" w:hAnsi="Arial"/>
        </w:rPr>
      </w:pPr>
    </w:p>
    <w:p w14:paraId="56EA8861" w14:textId="77777777" w:rsidR="00E3289C" w:rsidRPr="00F479C2" w:rsidRDefault="00E3289C" w:rsidP="008C15AE">
      <w:pPr>
        <w:pStyle w:val="ListParagraph"/>
        <w:numPr>
          <w:ilvl w:val="2"/>
          <w:numId w:val="19"/>
        </w:numPr>
        <w:ind w:left="709" w:hanging="709"/>
        <w:jc w:val="both"/>
        <w:rPr>
          <w:rFonts w:ascii="Arial" w:hAnsi="Arial" w:cs="Arial"/>
        </w:rPr>
      </w:pPr>
      <w:r w:rsidRPr="008C15AE">
        <w:rPr>
          <w:rFonts w:ascii="Arial" w:hAnsi="Arial" w:cs="Arial"/>
        </w:rPr>
        <w:t>The specified investments in which the Council can invest in are:</w:t>
      </w:r>
    </w:p>
    <w:p w14:paraId="61C5C9FD" w14:textId="77777777" w:rsidR="00E3289C" w:rsidRPr="00F479C2" w:rsidRDefault="00E3289C" w:rsidP="008C15AE">
      <w:pPr>
        <w:widowControl w:val="0"/>
        <w:numPr>
          <w:ilvl w:val="0"/>
          <w:numId w:val="1"/>
        </w:numPr>
        <w:tabs>
          <w:tab w:val="clear" w:pos="630"/>
        </w:tabs>
        <w:spacing w:before="120"/>
        <w:ind w:left="1135" w:right="96" w:hanging="284"/>
        <w:rPr>
          <w:rFonts w:ascii="Arial" w:hAnsi="Arial"/>
        </w:rPr>
      </w:pPr>
      <w:r w:rsidRPr="00F479C2">
        <w:rPr>
          <w:rFonts w:ascii="Arial" w:hAnsi="Arial"/>
        </w:rPr>
        <w:t>The UK Government</w:t>
      </w:r>
    </w:p>
    <w:p w14:paraId="7BE2CA8B" w14:textId="77777777" w:rsidR="00E3289C" w:rsidRPr="00F479C2" w:rsidRDefault="00E3289C" w:rsidP="008C15AE">
      <w:pPr>
        <w:widowControl w:val="0"/>
        <w:numPr>
          <w:ilvl w:val="0"/>
          <w:numId w:val="1"/>
        </w:numPr>
        <w:tabs>
          <w:tab w:val="clear" w:pos="630"/>
        </w:tabs>
        <w:spacing w:before="120"/>
        <w:ind w:left="1135" w:right="96" w:hanging="284"/>
        <w:rPr>
          <w:rFonts w:ascii="Arial" w:hAnsi="Arial"/>
        </w:rPr>
      </w:pPr>
      <w:r w:rsidRPr="00F479C2">
        <w:rPr>
          <w:rFonts w:ascii="Arial" w:hAnsi="Arial"/>
        </w:rPr>
        <w:t>Debt Management Office Accounts</w:t>
      </w:r>
    </w:p>
    <w:p w14:paraId="46813C51" w14:textId="77777777" w:rsidR="00E3289C" w:rsidRPr="00F479C2" w:rsidRDefault="00E3289C" w:rsidP="008C15AE">
      <w:pPr>
        <w:widowControl w:val="0"/>
        <w:numPr>
          <w:ilvl w:val="0"/>
          <w:numId w:val="1"/>
        </w:numPr>
        <w:tabs>
          <w:tab w:val="clear" w:pos="630"/>
        </w:tabs>
        <w:spacing w:before="120"/>
        <w:ind w:left="1135" w:right="96" w:hanging="284"/>
        <w:rPr>
          <w:rFonts w:ascii="Arial" w:hAnsi="Arial"/>
        </w:rPr>
      </w:pPr>
      <w:r w:rsidRPr="00F479C2">
        <w:rPr>
          <w:rFonts w:ascii="Arial" w:hAnsi="Arial"/>
        </w:rPr>
        <w:t>UK Local Authorities and Parish Councils</w:t>
      </w:r>
    </w:p>
    <w:p w14:paraId="66F3D926" w14:textId="77777777" w:rsidR="00E3289C" w:rsidRPr="00F479C2" w:rsidRDefault="00E3289C" w:rsidP="008C15AE">
      <w:pPr>
        <w:widowControl w:val="0"/>
        <w:numPr>
          <w:ilvl w:val="0"/>
          <w:numId w:val="1"/>
        </w:numPr>
        <w:tabs>
          <w:tab w:val="clear" w:pos="630"/>
        </w:tabs>
        <w:spacing w:before="120"/>
        <w:ind w:left="1135" w:right="96" w:hanging="284"/>
        <w:rPr>
          <w:rFonts w:ascii="Arial" w:hAnsi="Arial"/>
        </w:rPr>
      </w:pPr>
      <w:r w:rsidRPr="00F479C2">
        <w:rPr>
          <w:rFonts w:ascii="Arial" w:hAnsi="Arial"/>
        </w:rPr>
        <w:t xml:space="preserve">Term deposits with institutions or investment schemes with a credit rating that meets the criteria detailed in section 8. </w:t>
      </w:r>
    </w:p>
    <w:p w14:paraId="33DE6BF5" w14:textId="77777777" w:rsidR="00E3289C" w:rsidRPr="00F479C2" w:rsidRDefault="00E3289C" w:rsidP="008C15AE">
      <w:pPr>
        <w:widowControl w:val="0"/>
        <w:numPr>
          <w:ilvl w:val="0"/>
          <w:numId w:val="1"/>
        </w:numPr>
        <w:tabs>
          <w:tab w:val="clear" w:pos="630"/>
        </w:tabs>
        <w:spacing w:before="120"/>
        <w:ind w:left="1135" w:right="96" w:hanging="284"/>
        <w:rPr>
          <w:rFonts w:ascii="Arial" w:hAnsi="Arial"/>
        </w:rPr>
      </w:pPr>
      <w:r w:rsidRPr="00F479C2">
        <w:rPr>
          <w:rFonts w:ascii="Arial" w:hAnsi="Arial"/>
        </w:rPr>
        <w:t>Money Market funds with AAA rating including those with a variable asset value.</w:t>
      </w:r>
    </w:p>
    <w:p w14:paraId="76E07815" w14:textId="77777777" w:rsidR="00E3289C" w:rsidRPr="00F479C2" w:rsidRDefault="00E3289C" w:rsidP="008C15AE">
      <w:pPr>
        <w:widowControl w:val="0"/>
        <w:numPr>
          <w:ilvl w:val="0"/>
          <w:numId w:val="1"/>
        </w:numPr>
        <w:tabs>
          <w:tab w:val="clear" w:pos="630"/>
        </w:tabs>
        <w:spacing w:before="120"/>
        <w:ind w:left="1135" w:right="96" w:hanging="284"/>
        <w:rPr>
          <w:rFonts w:ascii="Arial" w:hAnsi="Arial"/>
        </w:rPr>
      </w:pPr>
      <w:r w:rsidRPr="00F479C2">
        <w:rPr>
          <w:rFonts w:ascii="Arial" w:hAnsi="Arial"/>
        </w:rPr>
        <w:t>Enhanced Money market funds with AAA rating</w:t>
      </w:r>
    </w:p>
    <w:p w14:paraId="1C6BB4EB" w14:textId="77777777" w:rsidR="00E3289C" w:rsidRPr="00F479C2" w:rsidRDefault="00E3289C" w:rsidP="00E3289C">
      <w:pPr>
        <w:widowControl w:val="0"/>
        <w:tabs>
          <w:tab w:val="left" w:pos="0"/>
        </w:tabs>
        <w:ind w:left="540" w:right="96"/>
        <w:rPr>
          <w:rFonts w:ascii="Arial" w:hAnsi="Arial"/>
        </w:rPr>
      </w:pPr>
      <w:r w:rsidRPr="00F479C2">
        <w:rPr>
          <w:rFonts w:ascii="Arial" w:hAnsi="Arial"/>
        </w:rPr>
        <w:t xml:space="preserve">  </w:t>
      </w:r>
    </w:p>
    <w:p w14:paraId="6B085570" w14:textId="77777777" w:rsidR="00E3289C" w:rsidRPr="008C15AE" w:rsidRDefault="00E3289C" w:rsidP="008C15AE">
      <w:pPr>
        <w:pStyle w:val="ListParagraph"/>
        <w:numPr>
          <w:ilvl w:val="2"/>
          <w:numId w:val="19"/>
        </w:numPr>
        <w:ind w:left="709" w:hanging="709"/>
        <w:jc w:val="both"/>
        <w:rPr>
          <w:rFonts w:ascii="Arial" w:hAnsi="Arial" w:cs="Arial"/>
        </w:rPr>
      </w:pPr>
      <w:r w:rsidRPr="008C15AE">
        <w:rPr>
          <w:rFonts w:ascii="Arial" w:hAnsi="Arial" w:cs="Arial"/>
          <w:b/>
        </w:rPr>
        <w:t>Non-specified Investments</w:t>
      </w:r>
      <w:r w:rsidRPr="008C15AE">
        <w:rPr>
          <w:rFonts w:ascii="Arial" w:hAnsi="Arial" w:cs="Arial"/>
        </w:rPr>
        <w:t xml:space="preserve"> - The Council’s policy is to invest in non-specified investments, which meet all the criteria of the specified investments above, save for duration of investment. This includes but is not limited to term deposits and Certificates of deposit issued by banks or building societies and deposits beyond 12 months, which meet the criteria as set out in the investment strategy below.</w:t>
      </w:r>
    </w:p>
    <w:p w14:paraId="39C2A120" w14:textId="77777777" w:rsidR="00E3289C" w:rsidRPr="00F479C2" w:rsidRDefault="00E3289C" w:rsidP="00E3289C">
      <w:pPr>
        <w:widowControl w:val="0"/>
        <w:ind w:left="709"/>
        <w:jc w:val="both"/>
        <w:rPr>
          <w:rFonts w:ascii="Arial" w:hAnsi="Arial"/>
        </w:rPr>
      </w:pPr>
    </w:p>
    <w:p w14:paraId="7AAC10C7" w14:textId="514470EE" w:rsidR="00E3289C" w:rsidRPr="008C15AE" w:rsidRDefault="00E3289C" w:rsidP="008C15AE">
      <w:pPr>
        <w:pStyle w:val="ListParagraph"/>
        <w:numPr>
          <w:ilvl w:val="2"/>
          <w:numId w:val="19"/>
        </w:numPr>
        <w:ind w:left="709" w:hanging="709"/>
        <w:jc w:val="both"/>
        <w:rPr>
          <w:rFonts w:ascii="Arial" w:hAnsi="Arial" w:cs="Arial"/>
        </w:rPr>
      </w:pPr>
      <w:r w:rsidRPr="008C15AE">
        <w:rPr>
          <w:rFonts w:ascii="Arial" w:hAnsi="Arial" w:cs="Arial"/>
          <w:b/>
        </w:rPr>
        <w:t>Unrated/lower rated Building Societies</w:t>
      </w:r>
      <w:r w:rsidRPr="008C15AE">
        <w:rPr>
          <w:rFonts w:ascii="Arial" w:hAnsi="Arial" w:cs="Arial"/>
        </w:rPr>
        <w:t xml:space="preserve"> </w:t>
      </w:r>
      <w:r w:rsidRPr="00F479C2">
        <w:rPr>
          <w:rFonts w:ascii="Arial" w:hAnsi="Arial" w:cs="Arial"/>
        </w:rPr>
        <w:t xml:space="preserve">were added to the investment strategy following approval by the Audit Committee in July 2017. Where the Building Society does not have a credit rating the Council will invest up to a maximum of £3m for </w:t>
      </w:r>
      <w:r w:rsidR="008C15AE">
        <w:rPr>
          <w:rFonts w:ascii="Arial" w:hAnsi="Arial" w:cs="Arial"/>
        </w:rPr>
        <w:t xml:space="preserve">a </w:t>
      </w:r>
      <w:r w:rsidRPr="00F479C2">
        <w:rPr>
          <w:rFonts w:ascii="Arial" w:hAnsi="Arial" w:cs="Arial"/>
        </w:rPr>
        <w:t>max</w:t>
      </w:r>
      <w:r w:rsidR="008C15AE">
        <w:rPr>
          <w:rFonts w:ascii="Arial" w:hAnsi="Arial" w:cs="Arial"/>
        </w:rPr>
        <w:t>imum</w:t>
      </w:r>
      <w:r w:rsidRPr="00F479C2">
        <w:rPr>
          <w:rFonts w:ascii="Arial" w:hAnsi="Arial" w:cs="Arial"/>
        </w:rPr>
        <w:t xml:space="preserve"> duration of </w:t>
      </w:r>
      <w:r w:rsidR="008C15AE">
        <w:rPr>
          <w:rFonts w:ascii="Arial" w:hAnsi="Arial" w:cs="Arial"/>
        </w:rPr>
        <w:t>six</w:t>
      </w:r>
      <w:r w:rsidRPr="00F479C2">
        <w:rPr>
          <w:rFonts w:ascii="Arial" w:hAnsi="Arial" w:cs="Arial"/>
        </w:rPr>
        <w:t xml:space="preserve"> months providing the counterparty has an asset size of at least £3Bn. This eff</w:t>
      </w:r>
      <w:r w:rsidR="008C15AE">
        <w:rPr>
          <w:rFonts w:ascii="Arial" w:hAnsi="Arial" w:cs="Arial"/>
        </w:rPr>
        <w:t>ectively permitted</w:t>
      </w:r>
      <w:r w:rsidRPr="00F479C2">
        <w:rPr>
          <w:rFonts w:ascii="Arial" w:hAnsi="Arial" w:cs="Arial"/>
        </w:rPr>
        <w:t xml:space="preserve"> investments into the top 10 Building Societies by size.</w:t>
      </w:r>
    </w:p>
    <w:p w14:paraId="360C9F6D" w14:textId="77777777" w:rsidR="00E3289C" w:rsidRPr="00F479C2" w:rsidRDefault="00E3289C" w:rsidP="00E3289C">
      <w:pPr>
        <w:widowControl w:val="0"/>
        <w:tabs>
          <w:tab w:val="left" w:pos="-142"/>
          <w:tab w:val="left" w:pos="0"/>
        </w:tabs>
        <w:jc w:val="both"/>
        <w:rPr>
          <w:rFonts w:ascii="Arial" w:hAnsi="Arial"/>
        </w:rPr>
      </w:pPr>
    </w:p>
    <w:p w14:paraId="1D4CD943" w14:textId="15827E35" w:rsidR="00E3289C" w:rsidRDefault="00E3289C" w:rsidP="008C15AE">
      <w:pPr>
        <w:pStyle w:val="ListParagraph"/>
        <w:numPr>
          <w:ilvl w:val="2"/>
          <w:numId w:val="19"/>
        </w:numPr>
        <w:ind w:left="709" w:hanging="709"/>
        <w:jc w:val="both"/>
        <w:rPr>
          <w:rFonts w:ascii="Arial" w:hAnsi="Arial" w:cs="Arial"/>
        </w:rPr>
      </w:pPr>
      <w:r w:rsidRPr="00F479C2">
        <w:rPr>
          <w:rFonts w:ascii="Arial" w:hAnsi="Arial" w:cs="Arial"/>
        </w:rPr>
        <w:lastRenderedPageBreak/>
        <w:t xml:space="preserve">The Council will place deposits in accordance with the </w:t>
      </w:r>
      <w:r w:rsidR="008C15AE">
        <w:rPr>
          <w:rFonts w:ascii="Arial" w:hAnsi="Arial" w:cs="Arial"/>
        </w:rPr>
        <w:t>MUFG Corporate Markets</w:t>
      </w:r>
      <w:r w:rsidRPr="00F479C2">
        <w:rPr>
          <w:rFonts w:ascii="Arial" w:hAnsi="Arial" w:cs="Arial"/>
        </w:rPr>
        <w:t xml:space="preserve"> matrix recommended colour durations, and where possible spread the amounts and dates of maturing investments as evenly as possible over this period. This avoids an excess of investments maturing in any one particular time and helps towards a more stable rate of return.</w:t>
      </w:r>
    </w:p>
    <w:p w14:paraId="4DF7C4D0" w14:textId="77777777" w:rsidR="005D07FA" w:rsidRDefault="005D07FA" w:rsidP="005D07FA">
      <w:pPr>
        <w:widowControl w:val="0"/>
        <w:jc w:val="both"/>
        <w:rPr>
          <w:rFonts w:ascii="Arial" w:hAnsi="Arial" w:cs="Arial"/>
          <w:b/>
        </w:rPr>
      </w:pPr>
    </w:p>
    <w:p w14:paraId="2837AFD1" w14:textId="3A2B09FE" w:rsidR="00E3289C" w:rsidRPr="008C15AE" w:rsidRDefault="00E3289C" w:rsidP="008C15AE">
      <w:pPr>
        <w:widowControl w:val="0"/>
        <w:numPr>
          <w:ilvl w:val="1"/>
          <w:numId w:val="19"/>
        </w:numPr>
        <w:ind w:left="709" w:hanging="709"/>
        <w:jc w:val="both"/>
        <w:rPr>
          <w:rFonts w:ascii="Arial" w:hAnsi="Arial" w:cs="Arial"/>
          <w:b/>
        </w:rPr>
      </w:pPr>
      <w:r w:rsidRPr="00662E11">
        <w:rPr>
          <w:rFonts w:ascii="Arial" w:hAnsi="Arial" w:cs="Arial"/>
          <w:b/>
        </w:rPr>
        <w:t xml:space="preserve">Creditworthiness policy </w:t>
      </w:r>
    </w:p>
    <w:p w14:paraId="7B609B8C" w14:textId="77777777" w:rsidR="00E3289C" w:rsidRPr="00690481" w:rsidRDefault="00E3289C" w:rsidP="008C15AE">
      <w:pPr>
        <w:ind w:left="709"/>
        <w:jc w:val="both"/>
        <w:rPr>
          <w:rFonts w:cs="Arial"/>
        </w:rPr>
      </w:pPr>
    </w:p>
    <w:p w14:paraId="443C33A8" w14:textId="65CF6A99" w:rsidR="00E3289C" w:rsidRDefault="00E3289C" w:rsidP="008C15AE">
      <w:pPr>
        <w:pStyle w:val="ListParagraph"/>
        <w:numPr>
          <w:ilvl w:val="2"/>
          <w:numId w:val="19"/>
        </w:numPr>
        <w:ind w:left="709" w:hanging="709"/>
        <w:jc w:val="both"/>
        <w:rPr>
          <w:rFonts w:ascii="Arial" w:hAnsi="Arial" w:cs="Arial"/>
        </w:rPr>
      </w:pPr>
      <w:r w:rsidRPr="00E26D03">
        <w:rPr>
          <w:rFonts w:ascii="Arial" w:hAnsi="Arial" w:cs="Arial"/>
        </w:rPr>
        <w:t>The Council applies the creditworthiness service provided by the MUFG Corporate Markets. This service employs a sophisticated modelling approach utilising credit ratings from the three main credit rating agencies - Fitch, Moody’s and Standard &amp; Poor’s. The credit ratings of counterparties are supplemented with the following overlays: -</w:t>
      </w:r>
    </w:p>
    <w:p w14:paraId="5496A027" w14:textId="77777777" w:rsidR="00E3289C" w:rsidRPr="00E26D03" w:rsidRDefault="00E3289C" w:rsidP="008C15AE">
      <w:pPr>
        <w:pStyle w:val="ListParagraph"/>
        <w:numPr>
          <w:ilvl w:val="0"/>
          <w:numId w:val="23"/>
        </w:numPr>
        <w:spacing w:before="120"/>
        <w:ind w:left="1135" w:hanging="284"/>
        <w:jc w:val="both"/>
        <w:rPr>
          <w:rFonts w:ascii="Arial" w:hAnsi="Arial" w:cs="Arial"/>
        </w:rPr>
      </w:pPr>
      <w:r w:rsidRPr="00E26D03">
        <w:rPr>
          <w:rFonts w:ascii="Arial" w:hAnsi="Arial" w:cs="Arial"/>
        </w:rPr>
        <w:t>“watches” and “outlooks” from credit rating agencies;</w:t>
      </w:r>
    </w:p>
    <w:p w14:paraId="318AD621" w14:textId="77777777" w:rsidR="00E3289C" w:rsidRPr="00E26D03" w:rsidRDefault="00E3289C" w:rsidP="008C15AE">
      <w:pPr>
        <w:pStyle w:val="ListParagraph"/>
        <w:numPr>
          <w:ilvl w:val="0"/>
          <w:numId w:val="23"/>
        </w:numPr>
        <w:spacing w:before="120"/>
        <w:ind w:left="1135" w:hanging="284"/>
        <w:jc w:val="both"/>
        <w:rPr>
          <w:rFonts w:ascii="Arial" w:hAnsi="Arial" w:cs="Arial"/>
        </w:rPr>
      </w:pPr>
      <w:r w:rsidRPr="00E26D03">
        <w:rPr>
          <w:rFonts w:ascii="Arial" w:hAnsi="Arial" w:cs="Arial"/>
        </w:rPr>
        <w:t>CDS spreads that may give early warning of changes in credit ratings;</w:t>
      </w:r>
    </w:p>
    <w:p w14:paraId="36458149" w14:textId="77777777" w:rsidR="00E3289C" w:rsidRDefault="00E3289C" w:rsidP="008C15AE">
      <w:pPr>
        <w:pStyle w:val="ListParagraph"/>
        <w:widowControl w:val="0"/>
        <w:numPr>
          <w:ilvl w:val="0"/>
          <w:numId w:val="23"/>
        </w:numPr>
        <w:spacing w:before="120"/>
        <w:ind w:left="1135" w:hanging="284"/>
        <w:jc w:val="both"/>
        <w:rPr>
          <w:rFonts w:ascii="Arial" w:hAnsi="Arial" w:cs="Arial"/>
        </w:rPr>
      </w:pPr>
      <w:r w:rsidRPr="00E26D03">
        <w:rPr>
          <w:rFonts w:ascii="Arial" w:hAnsi="Arial" w:cs="Arial"/>
        </w:rPr>
        <w:t>sovereign ratings to select counterparties from only the most creditworthy countries</w:t>
      </w:r>
    </w:p>
    <w:p w14:paraId="237DAA6F" w14:textId="77777777" w:rsidR="002C0F8C" w:rsidRDefault="002C0F8C" w:rsidP="002C0F8C">
      <w:pPr>
        <w:pStyle w:val="ListParagraph"/>
        <w:widowControl w:val="0"/>
        <w:ind w:left="360"/>
        <w:jc w:val="both"/>
        <w:rPr>
          <w:rFonts w:ascii="Arial" w:hAnsi="Arial" w:cs="Arial"/>
        </w:rPr>
      </w:pPr>
    </w:p>
    <w:p w14:paraId="279FF579" w14:textId="77777777" w:rsidR="000B19CE" w:rsidRDefault="00E3289C" w:rsidP="000B19CE">
      <w:pPr>
        <w:pStyle w:val="ListParagraph"/>
        <w:numPr>
          <w:ilvl w:val="2"/>
          <w:numId w:val="19"/>
        </w:numPr>
        <w:ind w:left="709" w:hanging="709"/>
        <w:jc w:val="both"/>
        <w:rPr>
          <w:rFonts w:ascii="Arial" w:hAnsi="Arial" w:cs="Arial"/>
        </w:rPr>
      </w:pPr>
      <w:r w:rsidRPr="00E26D03">
        <w:rPr>
          <w:rFonts w:ascii="Arial" w:hAnsi="Arial" w:cs="Arial"/>
        </w:rPr>
        <w:t>This modelling approach combines credit ratings, credit watches and credit</w:t>
      </w:r>
      <w:r w:rsidR="008C15AE">
        <w:rPr>
          <w:rFonts w:ascii="Arial" w:hAnsi="Arial" w:cs="Arial"/>
        </w:rPr>
        <w:t xml:space="preserve"> </w:t>
      </w:r>
      <w:r w:rsidRPr="00E26D03">
        <w:rPr>
          <w:rFonts w:ascii="Arial" w:hAnsi="Arial" w:cs="Arial"/>
        </w:rPr>
        <w:t xml:space="preserve">outlooks in a weighted scoring system, which is then combined with an overlay of CDS spreads for which the end product is a series of colour code bands which indicate the relative creditworthiness of counterparties. These colour codes are also used by the Council to determine the duration for investments and are therefore referred to as durational bands.  The Council is satisfied that this service gives a </w:t>
      </w:r>
      <w:proofErr w:type="gramStart"/>
      <w:r w:rsidRPr="00E26D03">
        <w:rPr>
          <w:rFonts w:ascii="Arial" w:hAnsi="Arial" w:cs="Arial"/>
        </w:rPr>
        <w:t>much improved</w:t>
      </w:r>
      <w:proofErr w:type="gramEnd"/>
      <w:r w:rsidRPr="00E26D03">
        <w:rPr>
          <w:rFonts w:ascii="Arial" w:hAnsi="Arial" w:cs="Arial"/>
        </w:rPr>
        <w:t xml:space="preserve"> level of security for its investments. It is also a service which the Council would not be able to replicate using in house resources.</w:t>
      </w:r>
    </w:p>
    <w:p w14:paraId="0D3B3A64" w14:textId="77777777" w:rsidR="000B19CE" w:rsidRDefault="000B19CE" w:rsidP="000B19CE">
      <w:pPr>
        <w:pStyle w:val="ListParagraph"/>
        <w:ind w:left="709"/>
        <w:jc w:val="both"/>
        <w:rPr>
          <w:rFonts w:ascii="Arial" w:hAnsi="Arial" w:cs="Arial"/>
        </w:rPr>
      </w:pPr>
    </w:p>
    <w:p w14:paraId="7A6E38B5" w14:textId="3E98F6A7" w:rsidR="00E3289C" w:rsidRPr="000B19CE" w:rsidRDefault="00E3289C" w:rsidP="000B19CE">
      <w:pPr>
        <w:pStyle w:val="ListParagraph"/>
        <w:numPr>
          <w:ilvl w:val="2"/>
          <w:numId w:val="19"/>
        </w:numPr>
        <w:ind w:left="709" w:hanging="709"/>
        <w:jc w:val="both"/>
        <w:rPr>
          <w:rFonts w:ascii="Arial" w:hAnsi="Arial" w:cs="Arial"/>
        </w:rPr>
      </w:pPr>
      <w:r w:rsidRPr="000B19CE">
        <w:rPr>
          <w:rFonts w:ascii="Arial" w:hAnsi="Arial" w:cs="Arial"/>
        </w:rPr>
        <w:t>The Council will therefore use counterparties within the following durational bands:</w:t>
      </w:r>
    </w:p>
    <w:p w14:paraId="718272EF" w14:textId="77777777" w:rsidR="00E3289C" w:rsidRDefault="00E3289C" w:rsidP="00E3289C">
      <w:pPr>
        <w:widowControl w:val="0"/>
        <w:ind w:left="142"/>
        <w:jc w:val="both"/>
        <w:rPr>
          <w:rFonts w:ascii="Arial" w:hAnsi="Arial" w:cs="Arial"/>
        </w:rPr>
      </w:pPr>
    </w:p>
    <w:p w14:paraId="34802C57" w14:textId="77777777" w:rsidR="00E3289C" w:rsidRPr="00F479C2" w:rsidRDefault="00E3289C" w:rsidP="00E3289C">
      <w:pPr>
        <w:widowControl w:val="0"/>
        <w:ind w:left="142"/>
        <w:jc w:val="both"/>
        <w:rPr>
          <w:rFonts w:ascii="Arial" w:hAnsi="Arial" w:cs="Arial"/>
        </w:rPr>
      </w:pPr>
      <w:r w:rsidRPr="00A950DC">
        <w:rPr>
          <w:rFonts w:cs="Arial"/>
          <w:noProof/>
          <w:lang w:eastAsia="en-GB"/>
        </w:rPr>
        <w:drawing>
          <wp:inline distT="0" distB="0" distL="0" distR="0" wp14:anchorId="03B5319A" wp14:editId="593C9E63">
            <wp:extent cx="5631815" cy="572135"/>
            <wp:effectExtent l="0" t="0" r="698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1815" cy="572135"/>
                    </a:xfrm>
                    <a:prstGeom prst="rect">
                      <a:avLst/>
                    </a:prstGeom>
                    <a:noFill/>
                  </pic:spPr>
                </pic:pic>
              </a:graphicData>
            </a:graphic>
          </wp:inline>
        </w:drawing>
      </w:r>
    </w:p>
    <w:p w14:paraId="3431E6A3" w14:textId="77777777" w:rsidR="00E3289C" w:rsidRDefault="00E3289C" w:rsidP="00E3289C">
      <w:pPr>
        <w:widowControl w:val="0"/>
        <w:tabs>
          <w:tab w:val="left" w:pos="1985"/>
        </w:tabs>
        <w:ind w:left="720"/>
        <w:rPr>
          <w:rFonts w:ascii="Arial" w:hAnsi="Arial" w:cs="Arial"/>
        </w:rPr>
      </w:pPr>
    </w:p>
    <w:p w14:paraId="7969DDAB" w14:textId="77777777" w:rsidR="00E3289C" w:rsidRPr="009A66DB" w:rsidRDefault="00E3289C" w:rsidP="00D60EFC">
      <w:pPr>
        <w:numPr>
          <w:ilvl w:val="0"/>
          <w:numId w:val="24"/>
        </w:numPr>
        <w:tabs>
          <w:tab w:val="left" w:pos="1985"/>
        </w:tabs>
        <w:ind w:left="709" w:hanging="425"/>
        <w:rPr>
          <w:rFonts w:ascii="Arial" w:hAnsi="Arial" w:cs="Arial"/>
        </w:rPr>
      </w:pPr>
      <w:r w:rsidRPr="009A66DB">
        <w:rPr>
          <w:rFonts w:ascii="Arial" w:hAnsi="Arial" w:cs="Arial"/>
        </w:rPr>
        <w:t>Yellow</w:t>
      </w:r>
      <w:r w:rsidRPr="009A66DB">
        <w:rPr>
          <w:rFonts w:ascii="Arial" w:hAnsi="Arial" w:cs="Arial"/>
        </w:rPr>
        <w:tab/>
        <w:t>5 years *</w:t>
      </w:r>
    </w:p>
    <w:p w14:paraId="6D69DCE2" w14:textId="77777777" w:rsidR="00E3289C" w:rsidRPr="009A66DB" w:rsidRDefault="00E3289C" w:rsidP="00D60EFC">
      <w:pPr>
        <w:numPr>
          <w:ilvl w:val="0"/>
          <w:numId w:val="24"/>
        </w:numPr>
        <w:tabs>
          <w:tab w:val="num" w:pos="1985"/>
        </w:tabs>
        <w:ind w:left="709" w:hanging="425"/>
        <w:rPr>
          <w:rFonts w:ascii="Arial" w:hAnsi="Arial" w:cs="Arial"/>
        </w:rPr>
      </w:pPr>
      <w:r w:rsidRPr="009A66DB">
        <w:rPr>
          <w:rFonts w:ascii="Arial" w:hAnsi="Arial" w:cs="Arial"/>
        </w:rPr>
        <w:t>Dark pink</w:t>
      </w:r>
      <w:r w:rsidRPr="009A66DB">
        <w:rPr>
          <w:rFonts w:ascii="Arial" w:hAnsi="Arial" w:cs="Arial"/>
        </w:rPr>
        <w:tab/>
        <w:t>5 years for Ultra-Short Dated Bond Funds with a credit score of 1.25</w:t>
      </w:r>
    </w:p>
    <w:p w14:paraId="114BBC5F" w14:textId="77777777" w:rsidR="00E3289C" w:rsidRPr="009A66DB" w:rsidRDefault="00E3289C" w:rsidP="00D60EFC">
      <w:pPr>
        <w:numPr>
          <w:ilvl w:val="0"/>
          <w:numId w:val="24"/>
        </w:numPr>
        <w:tabs>
          <w:tab w:val="num" w:pos="1985"/>
        </w:tabs>
        <w:ind w:left="709" w:hanging="425"/>
        <w:rPr>
          <w:rFonts w:ascii="Arial" w:hAnsi="Arial" w:cs="Arial"/>
        </w:rPr>
      </w:pPr>
      <w:r w:rsidRPr="009A66DB">
        <w:rPr>
          <w:rFonts w:ascii="Arial" w:hAnsi="Arial" w:cs="Arial"/>
        </w:rPr>
        <w:t>Light pink</w:t>
      </w:r>
      <w:r w:rsidRPr="009A66DB">
        <w:rPr>
          <w:rFonts w:ascii="Arial" w:hAnsi="Arial" w:cs="Arial"/>
        </w:rPr>
        <w:tab/>
        <w:t>5 years for Ultra-Short Dated Bond Funds with a credit score of 1.5</w:t>
      </w:r>
    </w:p>
    <w:p w14:paraId="21863C24" w14:textId="77777777" w:rsidR="00E3289C" w:rsidRPr="009A66DB" w:rsidRDefault="00E3289C" w:rsidP="00D60EFC">
      <w:pPr>
        <w:numPr>
          <w:ilvl w:val="0"/>
          <w:numId w:val="24"/>
        </w:numPr>
        <w:tabs>
          <w:tab w:val="left" w:pos="1985"/>
        </w:tabs>
        <w:ind w:left="709" w:hanging="425"/>
        <w:rPr>
          <w:rFonts w:ascii="Arial" w:hAnsi="Arial" w:cs="Arial"/>
        </w:rPr>
      </w:pPr>
      <w:r w:rsidRPr="009A66DB">
        <w:rPr>
          <w:rFonts w:ascii="Arial" w:hAnsi="Arial" w:cs="Arial"/>
        </w:rPr>
        <w:t xml:space="preserve">Purple </w:t>
      </w:r>
      <w:r w:rsidRPr="009A66DB">
        <w:rPr>
          <w:rFonts w:ascii="Arial" w:hAnsi="Arial" w:cs="Arial"/>
        </w:rPr>
        <w:tab/>
        <w:t>2 years</w:t>
      </w:r>
    </w:p>
    <w:p w14:paraId="35BDEA53" w14:textId="77777777" w:rsidR="00E3289C" w:rsidRPr="009A66DB" w:rsidRDefault="00E3289C" w:rsidP="00D60EFC">
      <w:pPr>
        <w:numPr>
          <w:ilvl w:val="0"/>
          <w:numId w:val="24"/>
        </w:numPr>
        <w:tabs>
          <w:tab w:val="left" w:pos="1985"/>
        </w:tabs>
        <w:ind w:left="709" w:hanging="425"/>
        <w:rPr>
          <w:rFonts w:ascii="Arial" w:hAnsi="Arial" w:cs="Arial"/>
        </w:rPr>
      </w:pPr>
      <w:r w:rsidRPr="009A66DB">
        <w:rPr>
          <w:rFonts w:ascii="Arial" w:hAnsi="Arial" w:cs="Arial"/>
        </w:rPr>
        <w:t xml:space="preserve">Blue </w:t>
      </w:r>
      <w:r w:rsidRPr="009A66DB">
        <w:rPr>
          <w:rFonts w:ascii="Arial" w:hAnsi="Arial" w:cs="Arial"/>
        </w:rPr>
        <w:tab/>
        <w:t>1 year (only applies to nationalised or semi nationalised UK Banks)</w:t>
      </w:r>
    </w:p>
    <w:p w14:paraId="51D3434D" w14:textId="77777777" w:rsidR="00E3289C" w:rsidRPr="009A66DB" w:rsidRDefault="00E3289C" w:rsidP="00D60EFC">
      <w:pPr>
        <w:numPr>
          <w:ilvl w:val="0"/>
          <w:numId w:val="24"/>
        </w:numPr>
        <w:tabs>
          <w:tab w:val="left" w:pos="1985"/>
        </w:tabs>
        <w:ind w:left="709" w:hanging="425"/>
        <w:rPr>
          <w:rFonts w:ascii="Arial" w:hAnsi="Arial" w:cs="Arial"/>
        </w:rPr>
      </w:pPr>
      <w:r w:rsidRPr="009A66DB">
        <w:rPr>
          <w:rFonts w:ascii="Arial" w:hAnsi="Arial" w:cs="Arial"/>
        </w:rPr>
        <w:t>Orange</w:t>
      </w:r>
      <w:r w:rsidRPr="009A66DB">
        <w:rPr>
          <w:rFonts w:ascii="Arial" w:hAnsi="Arial" w:cs="Arial"/>
        </w:rPr>
        <w:tab/>
        <w:t>1 year</w:t>
      </w:r>
    </w:p>
    <w:p w14:paraId="30C9AFF3" w14:textId="77777777" w:rsidR="00E3289C" w:rsidRPr="009A66DB" w:rsidRDefault="00E3289C" w:rsidP="00D60EFC">
      <w:pPr>
        <w:numPr>
          <w:ilvl w:val="0"/>
          <w:numId w:val="24"/>
        </w:numPr>
        <w:tabs>
          <w:tab w:val="left" w:pos="1985"/>
        </w:tabs>
        <w:ind w:left="709" w:hanging="425"/>
        <w:rPr>
          <w:rFonts w:ascii="Arial" w:hAnsi="Arial" w:cs="Arial"/>
        </w:rPr>
      </w:pPr>
      <w:r w:rsidRPr="009A66DB">
        <w:rPr>
          <w:rFonts w:ascii="Arial" w:hAnsi="Arial" w:cs="Arial"/>
        </w:rPr>
        <w:t xml:space="preserve">Red </w:t>
      </w:r>
      <w:r w:rsidRPr="009A66DB">
        <w:rPr>
          <w:rFonts w:ascii="Arial" w:hAnsi="Arial" w:cs="Arial"/>
        </w:rPr>
        <w:tab/>
        <w:t>6 months</w:t>
      </w:r>
    </w:p>
    <w:p w14:paraId="446FC1FD" w14:textId="77777777" w:rsidR="00E3289C" w:rsidRPr="009A66DB" w:rsidRDefault="00E3289C" w:rsidP="00D60EFC">
      <w:pPr>
        <w:numPr>
          <w:ilvl w:val="0"/>
          <w:numId w:val="24"/>
        </w:numPr>
        <w:tabs>
          <w:tab w:val="left" w:pos="1985"/>
        </w:tabs>
        <w:ind w:left="709" w:hanging="425"/>
        <w:rPr>
          <w:rFonts w:ascii="Arial" w:hAnsi="Arial" w:cs="Arial"/>
        </w:rPr>
      </w:pPr>
      <w:r w:rsidRPr="009A66DB">
        <w:rPr>
          <w:rFonts w:ascii="Arial" w:hAnsi="Arial" w:cs="Arial"/>
        </w:rPr>
        <w:t xml:space="preserve">Green </w:t>
      </w:r>
      <w:r w:rsidRPr="009A66DB">
        <w:rPr>
          <w:rFonts w:ascii="Arial" w:hAnsi="Arial" w:cs="Arial"/>
        </w:rPr>
        <w:tab/>
        <w:t xml:space="preserve">100 days  </w:t>
      </w:r>
    </w:p>
    <w:p w14:paraId="0E71D00B" w14:textId="05DB5E22" w:rsidR="00E3289C" w:rsidRDefault="00E3289C" w:rsidP="00D60EFC">
      <w:pPr>
        <w:numPr>
          <w:ilvl w:val="0"/>
          <w:numId w:val="24"/>
        </w:numPr>
        <w:tabs>
          <w:tab w:val="left" w:pos="1985"/>
        </w:tabs>
        <w:ind w:left="709" w:hanging="425"/>
        <w:rPr>
          <w:rFonts w:ascii="Arial" w:hAnsi="Arial" w:cs="Arial"/>
        </w:rPr>
      </w:pPr>
      <w:r w:rsidRPr="009A66DB">
        <w:rPr>
          <w:rFonts w:ascii="Arial" w:hAnsi="Arial" w:cs="Arial"/>
        </w:rPr>
        <w:t xml:space="preserve">No colour </w:t>
      </w:r>
      <w:r w:rsidRPr="009A66DB">
        <w:rPr>
          <w:rFonts w:ascii="Arial" w:hAnsi="Arial" w:cs="Arial"/>
        </w:rPr>
        <w:tab/>
        <w:t xml:space="preserve">not to be used </w:t>
      </w:r>
    </w:p>
    <w:p w14:paraId="4BB6FA38" w14:textId="77777777" w:rsidR="00C7655F" w:rsidRPr="009A66DB" w:rsidRDefault="00C7655F" w:rsidP="00C7655F">
      <w:pPr>
        <w:tabs>
          <w:tab w:val="left" w:pos="1985"/>
        </w:tabs>
        <w:ind w:left="709"/>
        <w:rPr>
          <w:rFonts w:ascii="Arial" w:hAnsi="Arial" w:cs="Arial"/>
        </w:rPr>
      </w:pPr>
    </w:p>
    <w:p w14:paraId="20158602" w14:textId="03450DB7" w:rsidR="00E3289C" w:rsidRDefault="00E3289C" w:rsidP="008C15AE">
      <w:pPr>
        <w:pStyle w:val="ListParagraph"/>
        <w:numPr>
          <w:ilvl w:val="2"/>
          <w:numId w:val="19"/>
        </w:numPr>
        <w:ind w:left="709" w:hanging="709"/>
        <w:jc w:val="both"/>
        <w:rPr>
          <w:rFonts w:ascii="Arial" w:hAnsi="Arial" w:cs="Arial"/>
        </w:rPr>
      </w:pPr>
      <w:r w:rsidRPr="009A66DB">
        <w:rPr>
          <w:rFonts w:ascii="Arial" w:hAnsi="Arial" w:cs="Arial"/>
        </w:rPr>
        <w:lastRenderedPageBreak/>
        <w:t xml:space="preserve">All credit ratings will be monitored </w:t>
      </w:r>
      <w:r>
        <w:rPr>
          <w:rFonts w:ascii="Arial" w:hAnsi="Arial" w:cs="Arial"/>
        </w:rPr>
        <w:t>regularly.</w:t>
      </w:r>
      <w:r w:rsidRPr="009A66DB">
        <w:rPr>
          <w:rFonts w:ascii="Arial" w:hAnsi="Arial" w:cs="Arial"/>
        </w:rPr>
        <w:t xml:space="preserve"> The </w:t>
      </w:r>
      <w:r>
        <w:rPr>
          <w:rFonts w:ascii="Arial" w:hAnsi="Arial" w:cs="Arial"/>
        </w:rPr>
        <w:t>council</w:t>
      </w:r>
      <w:r w:rsidRPr="009A66DB">
        <w:rPr>
          <w:rFonts w:ascii="Arial" w:hAnsi="Arial" w:cs="Arial"/>
        </w:rPr>
        <w:t xml:space="preserve"> is alerted to changes to ratings of all three agencies through its use of the MUFG Corporate Markets creditworthiness service. </w:t>
      </w:r>
    </w:p>
    <w:p w14:paraId="6E9E7029" w14:textId="77777777" w:rsidR="00E3289C" w:rsidRPr="00F479C2" w:rsidRDefault="00E3289C" w:rsidP="000B19CE">
      <w:pPr>
        <w:widowControl w:val="0"/>
        <w:numPr>
          <w:ilvl w:val="0"/>
          <w:numId w:val="2"/>
        </w:numPr>
        <w:tabs>
          <w:tab w:val="clear" w:pos="1009"/>
        </w:tabs>
        <w:spacing w:before="120"/>
        <w:ind w:left="1135" w:hanging="284"/>
        <w:jc w:val="both"/>
        <w:rPr>
          <w:rFonts w:ascii="Arial" w:hAnsi="Arial" w:cs="Arial"/>
        </w:rPr>
      </w:pPr>
      <w:r w:rsidRPr="00F479C2">
        <w:rPr>
          <w:rFonts w:ascii="Arial" w:hAnsi="Arial" w:cs="Arial"/>
        </w:rPr>
        <w:t>If a downgrade results in the counterparty/investment scheme no longer meeting the Council’s minimum criteria, its further use as a new investment will be withdrawn immediately. Consideration will also be given to terminating existing investments where appropriate.</w:t>
      </w:r>
    </w:p>
    <w:p w14:paraId="4F41BE9E" w14:textId="77777777" w:rsidR="00E3289C" w:rsidRPr="00F479C2" w:rsidRDefault="00E3289C" w:rsidP="000B19CE">
      <w:pPr>
        <w:widowControl w:val="0"/>
        <w:numPr>
          <w:ilvl w:val="0"/>
          <w:numId w:val="2"/>
        </w:numPr>
        <w:tabs>
          <w:tab w:val="clear" w:pos="1009"/>
        </w:tabs>
        <w:spacing w:before="120"/>
        <w:ind w:left="1135" w:hanging="284"/>
        <w:jc w:val="both"/>
        <w:rPr>
          <w:rFonts w:ascii="Arial" w:hAnsi="Arial" w:cs="Arial"/>
        </w:rPr>
      </w:pPr>
      <w:r w:rsidRPr="00F479C2">
        <w:rPr>
          <w:rFonts w:ascii="Arial" w:hAnsi="Arial" w:cs="Arial"/>
        </w:rPr>
        <w:t xml:space="preserve">In addition to the use of Credit Ratings the Council will be advised of information in movements in Credit Default Swap against the </w:t>
      </w:r>
      <w:proofErr w:type="spellStart"/>
      <w:r w:rsidRPr="00F479C2">
        <w:rPr>
          <w:rFonts w:ascii="Arial" w:hAnsi="Arial" w:cs="Arial"/>
        </w:rPr>
        <w:t>iTraxx</w:t>
      </w:r>
      <w:proofErr w:type="spellEnd"/>
      <w:r w:rsidRPr="00F479C2">
        <w:rPr>
          <w:rFonts w:ascii="Arial" w:hAnsi="Arial" w:cs="Arial"/>
        </w:rPr>
        <w:t xml:space="preserve"> benchmark and other market data on a weekly basis. Extreme market movements may result in downgrade of an institution or removal from the Council’s lending list.</w:t>
      </w:r>
    </w:p>
    <w:p w14:paraId="3C8A8234" w14:textId="77777777" w:rsidR="000B19CE" w:rsidRDefault="000B19CE" w:rsidP="000B19CE">
      <w:pPr>
        <w:pStyle w:val="ListParagraph"/>
        <w:ind w:left="709"/>
        <w:jc w:val="both"/>
        <w:rPr>
          <w:rFonts w:ascii="Arial" w:hAnsi="Arial" w:cs="Arial"/>
        </w:rPr>
      </w:pPr>
    </w:p>
    <w:p w14:paraId="283A98A1" w14:textId="28B1CC86" w:rsidR="00E3289C" w:rsidRDefault="00E3289C" w:rsidP="008C15AE">
      <w:pPr>
        <w:pStyle w:val="ListParagraph"/>
        <w:numPr>
          <w:ilvl w:val="2"/>
          <w:numId w:val="19"/>
        </w:numPr>
        <w:ind w:left="709" w:hanging="709"/>
        <w:jc w:val="both"/>
        <w:rPr>
          <w:rFonts w:ascii="Arial" w:hAnsi="Arial" w:cs="Arial"/>
        </w:rPr>
      </w:pPr>
      <w:r w:rsidRPr="00F479C2">
        <w:rPr>
          <w:rFonts w:ascii="Arial" w:hAnsi="Arial" w:cs="Arial"/>
        </w:rPr>
        <w:t xml:space="preserve">Sole reliance will not be placed on the use of this external service. In </w:t>
      </w:r>
      <w:proofErr w:type="gramStart"/>
      <w:r w:rsidRPr="00F479C2">
        <w:rPr>
          <w:rFonts w:ascii="Arial" w:hAnsi="Arial" w:cs="Arial"/>
        </w:rPr>
        <w:t>addition</w:t>
      </w:r>
      <w:proofErr w:type="gramEnd"/>
      <w:r w:rsidRPr="00F479C2">
        <w:rPr>
          <w:rFonts w:ascii="Arial" w:hAnsi="Arial" w:cs="Arial"/>
        </w:rPr>
        <w:t xml:space="preserve"> the Council will also use market data and market information from credible sources such as financial times, information on government support for banks and the credit ratings of that government support.</w:t>
      </w:r>
    </w:p>
    <w:p w14:paraId="6AFE1B2C" w14:textId="77777777" w:rsidR="00E3289C" w:rsidRDefault="00E3289C" w:rsidP="00E3289C">
      <w:pPr>
        <w:widowControl w:val="0"/>
        <w:jc w:val="both"/>
        <w:rPr>
          <w:rFonts w:ascii="Arial" w:hAnsi="Arial" w:cs="Arial"/>
        </w:rPr>
      </w:pPr>
    </w:p>
    <w:p w14:paraId="31655A26" w14:textId="77777777" w:rsidR="00E3289C" w:rsidRPr="00F479C2" w:rsidRDefault="00E3289C" w:rsidP="000B19CE">
      <w:pPr>
        <w:widowControl w:val="0"/>
        <w:numPr>
          <w:ilvl w:val="1"/>
          <w:numId w:val="19"/>
        </w:numPr>
        <w:ind w:left="709" w:hanging="709"/>
        <w:jc w:val="both"/>
        <w:rPr>
          <w:rFonts w:ascii="Arial" w:hAnsi="Arial" w:cs="Arial"/>
          <w:b/>
        </w:rPr>
      </w:pPr>
      <w:r w:rsidRPr="00F479C2">
        <w:rPr>
          <w:rFonts w:ascii="Arial" w:hAnsi="Arial" w:cs="Arial"/>
          <w:b/>
        </w:rPr>
        <w:t>Counterparty and Group Limits</w:t>
      </w:r>
    </w:p>
    <w:p w14:paraId="184044B1" w14:textId="77777777" w:rsidR="00E3289C" w:rsidRPr="00F479C2" w:rsidRDefault="00E3289C" w:rsidP="00E3289C">
      <w:pPr>
        <w:widowControl w:val="0"/>
        <w:rPr>
          <w:rFonts w:ascii="Arial" w:hAnsi="Arial" w:cs="Arial"/>
          <w:b/>
        </w:rPr>
      </w:pPr>
    </w:p>
    <w:p w14:paraId="1A4DAA0C" w14:textId="77777777" w:rsidR="000B19CE" w:rsidRDefault="00E3289C" w:rsidP="000B19CE">
      <w:pPr>
        <w:pStyle w:val="ListParagraph"/>
        <w:numPr>
          <w:ilvl w:val="2"/>
          <w:numId w:val="19"/>
        </w:numPr>
        <w:ind w:left="709" w:hanging="709"/>
        <w:jc w:val="both"/>
        <w:rPr>
          <w:rFonts w:ascii="Arial" w:hAnsi="Arial" w:cs="Arial"/>
        </w:rPr>
      </w:pPr>
      <w:r w:rsidRPr="00F479C2">
        <w:rPr>
          <w:rFonts w:ascii="Arial" w:hAnsi="Arial" w:cs="Arial"/>
        </w:rPr>
        <w:t xml:space="preserve">As well as using the </w:t>
      </w:r>
      <w:proofErr w:type="gramStart"/>
      <w:r>
        <w:rPr>
          <w:rFonts w:ascii="Arial" w:hAnsi="Arial" w:cs="Arial"/>
        </w:rPr>
        <w:t xml:space="preserve">MUFG’s </w:t>
      </w:r>
      <w:r w:rsidRPr="00F479C2">
        <w:rPr>
          <w:rFonts w:ascii="Arial" w:hAnsi="Arial" w:cs="Arial"/>
        </w:rPr>
        <w:t xml:space="preserve"> matrix</w:t>
      </w:r>
      <w:proofErr w:type="gramEnd"/>
      <w:r w:rsidRPr="00F479C2">
        <w:rPr>
          <w:rFonts w:ascii="Arial" w:hAnsi="Arial" w:cs="Arial"/>
        </w:rPr>
        <w:t>, the Council will limit its exposure to any one particular Institution or group of banks, for example the Lloyds Group and Santander Group. The Council will adopt a tiered exposure using Fitch long term (or equivalent from other agencies if Fitch does not provide) to determine the amount of funds placed with each institution. The DMO account, UK Government and Local Authorities and UK part nationalised banks will have a separate limit of £10m. Money market funds will have a credit limit of £10m per fund.</w:t>
      </w:r>
    </w:p>
    <w:p w14:paraId="6A4BBA76" w14:textId="77777777" w:rsidR="000B19CE" w:rsidRDefault="000B19CE" w:rsidP="000B19CE">
      <w:pPr>
        <w:pStyle w:val="ListParagraph"/>
        <w:ind w:left="709"/>
        <w:jc w:val="both"/>
        <w:rPr>
          <w:rFonts w:ascii="Arial" w:hAnsi="Arial" w:cs="Arial"/>
        </w:rPr>
      </w:pPr>
    </w:p>
    <w:p w14:paraId="409BCAF5" w14:textId="12EFFA80" w:rsidR="00E3289C" w:rsidRPr="000B19CE" w:rsidRDefault="00E3289C" w:rsidP="000B19CE">
      <w:pPr>
        <w:pStyle w:val="ListParagraph"/>
        <w:numPr>
          <w:ilvl w:val="2"/>
          <w:numId w:val="19"/>
        </w:numPr>
        <w:ind w:left="709" w:hanging="709"/>
        <w:jc w:val="both"/>
        <w:rPr>
          <w:rFonts w:ascii="Arial" w:hAnsi="Arial" w:cs="Arial"/>
        </w:rPr>
      </w:pPr>
      <w:r w:rsidRPr="000B19CE">
        <w:rPr>
          <w:rFonts w:ascii="Arial" w:hAnsi="Arial" w:cs="Arial"/>
          <w:b/>
        </w:rPr>
        <w:t>Time and monetary</w:t>
      </w:r>
      <w:r w:rsidR="000B19CE">
        <w:rPr>
          <w:rFonts w:ascii="Arial" w:hAnsi="Arial" w:cs="Arial"/>
          <w:b/>
        </w:rPr>
        <w:t xml:space="preserve"> limits applying to investments – </w:t>
      </w:r>
      <w:r w:rsidRPr="000B19CE">
        <w:rPr>
          <w:rFonts w:ascii="Arial" w:hAnsi="Arial" w:cs="Arial"/>
        </w:rPr>
        <w:t>The time and monetary limits for institutions on the Council’s counterparty list are as follows (these will cover both specified and non-specified investments):</w:t>
      </w:r>
    </w:p>
    <w:p w14:paraId="33C5F9F7" w14:textId="77777777" w:rsidR="00E3289C" w:rsidRDefault="00E3289C" w:rsidP="00E3289C">
      <w:pPr>
        <w:widowControl w:val="0"/>
        <w:ind w:left="709"/>
        <w:jc w:val="both"/>
        <w:rPr>
          <w:rFonts w:ascii="Arial" w:hAnsi="Arial" w:cs="Arial"/>
          <w:b/>
        </w:rPr>
      </w:pPr>
    </w:p>
    <w:p w14:paraId="4D1344DB" w14:textId="77777777" w:rsidR="00E3289C" w:rsidRPr="00F479C2" w:rsidRDefault="00E3289C" w:rsidP="000B19CE">
      <w:pPr>
        <w:keepNext/>
        <w:widowControl w:val="0"/>
        <w:ind w:left="709"/>
        <w:jc w:val="both"/>
        <w:rPr>
          <w:rFonts w:ascii="Arial" w:hAnsi="Arial" w:cs="Arial"/>
        </w:rPr>
      </w:pPr>
      <w:r w:rsidRPr="00F479C2">
        <w:rPr>
          <w:rFonts w:ascii="Arial" w:hAnsi="Arial" w:cs="Arial"/>
          <w:b/>
        </w:rPr>
        <w:lastRenderedPageBreak/>
        <w:t>Table 1</w:t>
      </w:r>
      <w:r>
        <w:rPr>
          <w:rFonts w:ascii="Arial" w:hAnsi="Arial" w:cs="Arial"/>
          <w:b/>
        </w:rPr>
        <w:t>2</w:t>
      </w:r>
      <w:r w:rsidRPr="00F479C2">
        <w:rPr>
          <w:rFonts w:ascii="Arial" w:hAnsi="Arial" w:cs="Arial"/>
          <w:b/>
        </w:rPr>
        <w:t xml:space="preserve"> – Investment limits</w:t>
      </w:r>
    </w:p>
    <w:p w14:paraId="77457460" w14:textId="77777777" w:rsidR="00E3289C" w:rsidRDefault="00E3289C" w:rsidP="000B19CE">
      <w:pPr>
        <w:keepNext/>
        <w:widowControl w:val="0"/>
        <w:rPr>
          <w:rFonts w:ascii="Arial" w:hAnsi="Arial" w:cs="Arial"/>
        </w:rPr>
      </w:pPr>
    </w:p>
    <w:tbl>
      <w:tblPr>
        <w:tblW w:w="9431" w:type="dxa"/>
        <w:tblInd w:w="-15" w:type="dxa"/>
        <w:tblLook w:val="04A0" w:firstRow="1" w:lastRow="0" w:firstColumn="1" w:lastColumn="0" w:noHBand="0" w:noVBand="1"/>
      </w:tblPr>
      <w:tblGrid>
        <w:gridCol w:w="3383"/>
        <w:gridCol w:w="1787"/>
        <w:gridCol w:w="1644"/>
        <w:gridCol w:w="1426"/>
        <w:gridCol w:w="1191"/>
      </w:tblGrid>
      <w:tr w:rsidR="00E3289C" w14:paraId="0F9AE6FA" w14:textId="77777777" w:rsidTr="00E3289C">
        <w:trPr>
          <w:trHeight w:val="738"/>
        </w:trPr>
        <w:tc>
          <w:tcPr>
            <w:tcW w:w="3383" w:type="dxa"/>
            <w:vMerge w:val="restart"/>
            <w:tcBorders>
              <w:top w:val="single" w:sz="12" w:space="0" w:color="auto"/>
              <w:left w:val="single" w:sz="12" w:space="0" w:color="auto"/>
              <w:bottom w:val="single" w:sz="12" w:space="0" w:color="000000"/>
              <w:right w:val="single" w:sz="12" w:space="0" w:color="auto"/>
            </w:tcBorders>
            <w:shd w:val="clear" w:color="000000" w:fill="C0C0C0"/>
            <w:vAlign w:val="center"/>
            <w:hideMark/>
          </w:tcPr>
          <w:p w14:paraId="3E8E7984" w14:textId="77777777" w:rsidR="00E3289C" w:rsidRDefault="00E3289C" w:rsidP="000B19CE">
            <w:pPr>
              <w:keepNext/>
              <w:jc w:val="both"/>
              <w:rPr>
                <w:rFonts w:ascii="Arial" w:hAnsi="Arial" w:cs="Arial"/>
                <w:b/>
                <w:bCs/>
                <w:color w:val="000000"/>
                <w:sz w:val="22"/>
                <w:szCs w:val="22"/>
                <w:lang w:eastAsia="en-GB"/>
              </w:rPr>
            </w:pPr>
            <w:r>
              <w:rPr>
                <w:rFonts w:ascii="Arial" w:hAnsi="Arial" w:cs="Arial"/>
                <w:b/>
                <w:bCs/>
                <w:color w:val="000000"/>
                <w:sz w:val="22"/>
                <w:szCs w:val="22"/>
              </w:rPr>
              <w:t> </w:t>
            </w:r>
          </w:p>
        </w:tc>
        <w:tc>
          <w:tcPr>
            <w:tcW w:w="1787" w:type="dxa"/>
            <w:tcBorders>
              <w:top w:val="single" w:sz="12" w:space="0" w:color="auto"/>
              <w:left w:val="nil"/>
              <w:bottom w:val="nil"/>
              <w:right w:val="single" w:sz="12" w:space="0" w:color="auto"/>
            </w:tcBorders>
            <w:shd w:val="clear" w:color="000000" w:fill="C0C0C0"/>
            <w:vAlign w:val="center"/>
            <w:hideMark/>
          </w:tcPr>
          <w:p w14:paraId="7AD8937E" w14:textId="77777777" w:rsidR="00E3289C" w:rsidRDefault="00E3289C" w:rsidP="000B19CE">
            <w:pPr>
              <w:keepNext/>
              <w:jc w:val="both"/>
              <w:rPr>
                <w:rFonts w:ascii="Arial" w:hAnsi="Arial" w:cs="Arial"/>
                <w:b/>
                <w:bCs/>
                <w:color w:val="000000"/>
                <w:sz w:val="22"/>
                <w:szCs w:val="22"/>
              </w:rPr>
            </w:pPr>
            <w:r>
              <w:rPr>
                <w:rFonts w:ascii="Arial" w:hAnsi="Arial" w:cs="Arial"/>
                <w:b/>
                <w:bCs/>
                <w:color w:val="000000"/>
                <w:sz w:val="22"/>
                <w:szCs w:val="22"/>
              </w:rPr>
              <w:t xml:space="preserve">MUFG’s colour rating </w:t>
            </w:r>
          </w:p>
        </w:tc>
        <w:tc>
          <w:tcPr>
            <w:tcW w:w="1644" w:type="dxa"/>
            <w:tcBorders>
              <w:top w:val="single" w:sz="12" w:space="0" w:color="auto"/>
              <w:left w:val="nil"/>
              <w:bottom w:val="nil"/>
              <w:right w:val="single" w:sz="12" w:space="0" w:color="auto"/>
            </w:tcBorders>
            <w:shd w:val="clear" w:color="000000" w:fill="C0C0C0"/>
            <w:vAlign w:val="center"/>
            <w:hideMark/>
          </w:tcPr>
          <w:p w14:paraId="619F411B"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Fitch Long term Rating</w:t>
            </w:r>
          </w:p>
        </w:tc>
        <w:tc>
          <w:tcPr>
            <w:tcW w:w="1426" w:type="dxa"/>
            <w:tcBorders>
              <w:top w:val="single" w:sz="12" w:space="0" w:color="auto"/>
              <w:left w:val="nil"/>
              <w:bottom w:val="nil"/>
              <w:right w:val="single" w:sz="12" w:space="0" w:color="auto"/>
            </w:tcBorders>
            <w:shd w:val="clear" w:color="000000" w:fill="C0C0C0"/>
            <w:vAlign w:val="center"/>
            <w:hideMark/>
          </w:tcPr>
          <w:p w14:paraId="35919E39"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Money and/or %</w:t>
            </w:r>
          </w:p>
        </w:tc>
        <w:tc>
          <w:tcPr>
            <w:tcW w:w="1191" w:type="dxa"/>
            <w:tcBorders>
              <w:top w:val="single" w:sz="12" w:space="0" w:color="auto"/>
              <w:left w:val="nil"/>
              <w:bottom w:val="nil"/>
              <w:right w:val="single" w:sz="12" w:space="0" w:color="auto"/>
            </w:tcBorders>
            <w:shd w:val="clear" w:color="000000" w:fill="C0C0C0"/>
            <w:vAlign w:val="center"/>
            <w:hideMark/>
          </w:tcPr>
          <w:p w14:paraId="2E6FBC63"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 xml:space="preserve">Time </w:t>
            </w:r>
          </w:p>
        </w:tc>
      </w:tr>
      <w:tr w:rsidR="00E3289C" w14:paraId="700A546C" w14:textId="77777777" w:rsidTr="00E3289C">
        <w:trPr>
          <w:trHeight w:val="555"/>
        </w:trPr>
        <w:tc>
          <w:tcPr>
            <w:tcW w:w="3383" w:type="dxa"/>
            <w:vMerge/>
            <w:tcBorders>
              <w:top w:val="single" w:sz="12" w:space="0" w:color="auto"/>
              <w:left w:val="single" w:sz="12" w:space="0" w:color="auto"/>
              <w:bottom w:val="single" w:sz="12" w:space="0" w:color="000000"/>
              <w:right w:val="single" w:sz="12" w:space="0" w:color="auto"/>
            </w:tcBorders>
            <w:vAlign w:val="center"/>
            <w:hideMark/>
          </w:tcPr>
          <w:p w14:paraId="449BC376" w14:textId="77777777" w:rsidR="00E3289C" w:rsidRDefault="00E3289C" w:rsidP="000B19CE">
            <w:pPr>
              <w:keepNext/>
              <w:rPr>
                <w:rFonts w:ascii="Arial" w:hAnsi="Arial" w:cs="Arial"/>
                <w:b/>
                <w:bCs/>
                <w:color w:val="000000"/>
                <w:sz w:val="22"/>
                <w:szCs w:val="22"/>
              </w:rPr>
            </w:pPr>
          </w:p>
        </w:tc>
        <w:tc>
          <w:tcPr>
            <w:tcW w:w="1787" w:type="dxa"/>
            <w:tcBorders>
              <w:top w:val="nil"/>
              <w:left w:val="nil"/>
              <w:bottom w:val="single" w:sz="12" w:space="0" w:color="auto"/>
              <w:right w:val="single" w:sz="12" w:space="0" w:color="auto"/>
            </w:tcBorders>
            <w:shd w:val="clear" w:color="000000" w:fill="C0C0C0"/>
            <w:vAlign w:val="center"/>
            <w:hideMark/>
          </w:tcPr>
          <w:p w14:paraId="26A65A03" w14:textId="77777777" w:rsidR="00E3289C" w:rsidRDefault="00E3289C" w:rsidP="000B19CE">
            <w:pPr>
              <w:keepNext/>
              <w:jc w:val="both"/>
              <w:rPr>
                <w:rFonts w:ascii="Arial" w:hAnsi="Arial" w:cs="Arial"/>
                <w:b/>
                <w:bCs/>
                <w:color w:val="000000"/>
                <w:sz w:val="22"/>
                <w:szCs w:val="22"/>
              </w:rPr>
            </w:pPr>
            <w:r>
              <w:rPr>
                <w:rFonts w:ascii="Arial" w:hAnsi="Arial" w:cs="Arial"/>
                <w:b/>
                <w:bCs/>
                <w:color w:val="000000"/>
                <w:sz w:val="22"/>
                <w:szCs w:val="22"/>
              </w:rPr>
              <w:t> </w:t>
            </w:r>
          </w:p>
        </w:tc>
        <w:tc>
          <w:tcPr>
            <w:tcW w:w="1644" w:type="dxa"/>
            <w:tcBorders>
              <w:top w:val="nil"/>
              <w:left w:val="nil"/>
              <w:bottom w:val="single" w:sz="12" w:space="0" w:color="auto"/>
              <w:right w:val="single" w:sz="12" w:space="0" w:color="auto"/>
            </w:tcBorders>
            <w:shd w:val="clear" w:color="000000" w:fill="C0C0C0"/>
            <w:vAlign w:val="center"/>
            <w:hideMark/>
          </w:tcPr>
          <w:p w14:paraId="56D7FE41"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(or equivalent)</w:t>
            </w:r>
          </w:p>
        </w:tc>
        <w:tc>
          <w:tcPr>
            <w:tcW w:w="1426" w:type="dxa"/>
            <w:tcBorders>
              <w:top w:val="nil"/>
              <w:left w:val="nil"/>
              <w:bottom w:val="single" w:sz="12" w:space="0" w:color="auto"/>
              <w:right w:val="single" w:sz="12" w:space="0" w:color="auto"/>
            </w:tcBorders>
            <w:shd w:val="clear" w:color="000000" w:fill="C0C0C0"/>
            <w:vAlign w:val="center"/>
            <w:hideMark/>
          </w:tcPr>
          <w:p w14:paraId="3741E34C"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Limit</w:t>
            </w:r>
          </w:p>
        </w:tc>
        <w:tc>
          <w:tcPr>
            <w:tcW w:w="1191" w:type="dxa"/>
            <w:tcBorders>
              <w:top w:val="nil"/>
              <w:left w:val="nil"/>
              <w:bottom w:val="single" w:sz="12" w:space="0" w:color="auto"/>
              <w:right w:val="single" w:sz="12" w:space="0" w:color="auto"/>
            </w:tcBorders>
            <w:shd w:val="clear" w:color="000000" w:fill="C0C0C0"/>
            <w:vAlign w:val="center"/>
            <w:hideMark/>
          </w:tcPr>
          <w:p w14:paraId="75B9B2B9"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Limit</w:t>
            </w:r>
          </w:p>
        </w:tc>
      </w:tr>
      <w:tr w:rsidR="00E3289C" w14:paraId="05FA08E3" w14:textId="77777777" w:rsidTr="00E3289C">
        <w:trPr>
          <w:trHeight w:val="354"/>
        </w:trPr>
        <w:tc>
          <w:tcPr>
            <w:tcW w:w="3383" w:type="dxa"/>
            <w:vMerge w:val="restart"/>
            <w:tcBorders>
              <w:top w:val="nil"/>
              <w:left w:val="single" w:sz="12" w:space="0" w:color="auto"/>
              <w:bottom w:val="single" w:sz="12" w:space="0" w:color="000000"/>
              <w:right w:val="single" w:sz="12" w:space="0" w:color="auto"/>
            </w:tcBorders>
            <w:vAlign w:val="center"/>
            <w:hideMark/>
          </w:tcPr>
          <w:p w14:paraId="57559EC1" w14:textId="77777777" w:rsidR="00E3289C" w:rsidRDefault="00E3289C" w:rsidP="000B19CE">
            <w:pPr>
              <w:keepNext/>
              <w:rPr>
                <w:rFonts w:ascii="Arial" w:hAnsi="Arial" w:cs="Arial"/>
                <w:b/>
                <w:bCs/>
                <w:color w:val="000000"/>
                <w:sz w:val="22"/>
                <w:szCs w:val="22"/>
              </w:rPr>
            </w:pPr>
            <w:r>
              <w:rPr>
                <w:rFonts w:ascii="Arial" w:hAnsi="Arial" w:cs="Arial"/>
                <w:b/>
                <w:bCs/>
                <w:iCs/>
                <w:color w:val="000000"/>
                <w:sz w:val="22"/>
                <w:szCs w:val="22"/>
                <w:lang w:val="en-US"/>
              </w:rPr>
              <w:t>Higher Quality Rated Banks</w:t>
            </w:r>
          </w:p>
        </w:tc>
        <w:tc>
          <w:tcPr>
            <w:tcW w:w="1787" w:type="dxa"/>
            <w:vMerge w:val="restart"/>
            <w:tcBorders>
              <w:top w:val="nil"/>
              <w:left w:val="single" w:sz="12" w:space="0" w:color="auto"/>
              <w:bottom w:val="single" w:sz="12" w:space="0" w:color="000000"/>
              <w:right w:val="single" w:sz="12" w:space="0" w:color="auto"/>
            </w:tcBorders>
            <w:vAlign w:val="center"/>
            <w:hideMark/>
          </w:tcPr>
          <w:p w14:paraId="0AB84522" w14:textId="77777777" w:rsidR="00E3289C" w:rsidRDefault="00E3289C" w:rsidP="000B19CE">
            <w:pPr>
              <w:keepNext/>
              <w:jc w:val="center"/>
              <w:rPr>
                <w:rFonts w:ascii="Arial" w:hAnsi="Arial" w:cs="Arial"/>
                <w:b/>
                <w:bCs/>
                <w:color w:val="000000"/>
                <w:sz w:val="22"/>
                <w:szCs w:val="22"/>
              </w:rPr>
            </w:pPr>
            <w:r>
              <w:rPr>
                <w:rFonts w:ascii="Arial" w:hAnsi="Arial" w:cs="Arial"/>
                <w:b/>
                <w:bCs/>
                <w:color w:val="000000"/>
                <w:sz w:val="22"/>
                <w:szCs w:val="22"/>
              </w:rPr>
              <w:t>Yellow </w:t>
            </w:r>
          </w:p>
        </w:tc>
        <w:tc>
          <w:tcPr>
            <w:tcW w:w="1644" w:type="dxa"/>
            <w:tcBorders>
              <w:top w:val="nil"/>
              <w:left w:val="nil"/>
              <w:bottom w:val="nil"/>
              <w:right w:val="single" w:sz="12" w:space="0" w:color="auto"/>
            </w:tcBorders>
            <w:vAlign w:val="center"/>
            <w:hideMark/>
          </w:tcPr>
          <w:p w14:paraId="5A40D5DC" w14:textId="77777777" w:rsidR="00E3289C" w:rsidRDefault="00E3289C" w:rsidP="000B19CE">
            <w:pPr>
              <w:keepNext/>
              <w:jc w:val="center"/>
              <w:rPr>
                <w:rFonts w:ascii="Arial" w:hAnsi="Arial" w:cs="Arial"/>
                <w:b/>
                <w:bCs/>
                <w:i/>
                <w:iCs/>
                <w:color w:val="000000"/>
                <w:sz w:val="22"/>
                <w:szCs w:val="22"/>
              </w:rPr>
            </w:pPr>
            <w:r>
              <w:rPr>
                <w:rFonts w:ascii="Arial" w:hAnsi="Arial" w:cs="Arial"/>
                <w:b/>
                <w:bCs/>
                <w:i/>
                <w:iCs/>
                <w:color w:val="000000"/>
                <w:sz w:val="22"/>
                <w:szCs w:val="22"/>
                <w:lang w:val="en-US"/>
              </w:rPr>
              <w:t>AAA</w:t>
            </w:r>
          </w:p>
        </w:tc>
        <w:tc>
          <w:tcPr>
            <w:tcW w:w="1426" w:type="dxa"/>
            <w:vMerge w:val="restart"/>
            <w:tcBorders>
              <w:top w:val="nil"/>
              <w:left w:val="single" w:sz="12" w:space="0" w:color="auto"/>
              <w:bottom w:val="single" w:sz="12" w:space="0" w:color="000000"/>
              <w:right w:val="single" w:sz="12" w:space="0" w:color="auto"/>
            </w:tcBorders>
            <w:vAlign w:val="center"/>
            <w:hideMark/>
          </w:tcPr>
          <w:p w14:paraId="04592EB8"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£10m</w:t>
            </w:r>
          </w:p>
        </w:tc>
        <w:tc>
          <w:tcPr>
            <w:tcW w:w="1191" w:type="dxa"/>
            <w:vMerge w:val="restart"/>
            <w:tcBorders>
              <w:top w:val="nil"/>
              <w:left w:val="single" w:sz="12" w:space="0" w:color="auto"/>
              <w:bottom w:val="single" w:sz="12" w:space="0" w:color="000000"/>
              <w:right w:val="single" w:sz="12" w:space="0" w:color="auto"/>
            </w:tcBorders>
            <w:vAlign w:val="center"/>
            <w:hideMark/>
          </w:tcPr>
          <w:p w14:paraId="6C61FB7E" w14:textId="77777777" w:rsidR="00E3289C" w:rsidRDefault="00E3289C" w:rsidP="000B19CE">
            <w:pPr>
              <w:keepNext/>
              <w:jc w:val="center"/>
              <w:rPr>
                <w:rFonts w:ascii="Arial" w:hAnsi="Arial" w:cs="Arial"/>
                <w:b/>
                <w:bCs/>
                <w:color w:val="000000"/>
                <w:sz w:val="22"/>
                <w:szCs w:val="22"/>
              </w:rPr>
            </w:pPr>
            <w:r>
              <w:rPr>
                <w:rFonts w:ascii="Arial" w:hAnsi="Arial" w:cs="Arial"/>
                <w:b/>
                <w:bCs/>
                <w:color w:val="000000"/>
                <w:sz w:val="22"/>
                <w:szCs w:val="22"/>
              </w:rPr>
              <w:t>5 years</w:t>
            </w:r>
          </w:p>
        </w:tc>
      </w:tr>
      <w:tr w:rsidR="00E3289C" w14:paraId="549102E2" w14:textId="77777777" w:rsidTr="00E3289C">
        <w:trPr>
          <w:trHeight w:val="181"/>
        </w:trPr>
        <w:tc>
          <w:tcPr>
            <w:tcW w:w="3383" w:type="dxa"/>
            <w:vMerge/>
            <w:tcBorders>
              <w:top w:val="nil"/>
              <w:left w:val="single" w:sz="12" w:space="0" w:color="auto"/>
              <w:bottom w:val="single" w:sz="12" w:space="0" w:color="000000"/>
              <w:right w:val="single" w:sz="12" w:space="0" w:color="auto"/>
            </w:tcBorders>
            <w:vAlign w:val="center"/>
            <w:hideMark/>
          </w:tcPr>
          <w:p w14:paraId="6433A688" w14:textId="77777777" w:rsidR="00E3289C" w:rsidRDefault="00E3289C" w:rsidP="000B19CE">
            <w:pPr>
              <w:keepNext/>
              <w:rPr>
                <w:rFonts w:ascii="Arial" w:hAnsi="Arial" w:cs="Arial"/>
                <w:b/>
                <w:bCs/>
                <w:color w:val="000000"/>
                <w:sz w:val="22"/>
                <w:szCs w:val="22"/>
              </w:rPr>
            </w:pPr>
          </w:p>
        </w:tc>
        <w:tc>
          <w:tcPr>
            <w:tcW w:w="1787" w:type="dxa"/>
            <w:vMerge/>
            <w:tcBorders>
              <w:top w:val="nil"/>
              <w:left w:val="single" w:sz="12" w:space="0" w:color="auto"/>
              <w:bottom w:val="single" w:sz="12" w:space="0" w:color="000000"/>
              <w:right w:val="single" w:sz="12" w:space="0" w:color="auto"/>
            </w:tcBorders>
            <w:vAlign w:val="center"/>
            <w:hideMark/>
          </w:tcPr>
          <w:p w14:paraId="2C88A6D8" w14:textId="77777777" w:rsidR="00E3289C" w:rsidRDefault="00E3289C" w:rsidP="000B19CE">
            <w:pPr>
              <w:keepNext/>
              <w:rPr>
                <w:rFonts w:ascii="Arial" w:hAnsi="Arial" w:cs="Arial"/>
                <w:b/>
                <w:bCs/>
                <w:color w:val="000000"/>
                <w:sz w:val="22"/>
                <w:szCs w:val="22"/>
              </w:rPr>
            </w:pPr>
          </w:p>
        </w:tc>
        <w:tc>
          <w:tcPr>
            <w:tcW w:w="1644" w:type="dxa"/>
            <w:tcBorders>
              <w:top w:val="nil"/>
              <w:left w:val="nil"/>
              <w:bottom w:val="nil"/>
              <w:right w:val="single" w:sz="12" w:space="0" w:color="auto"/>
            </w:tcBorders>
            <w:vAlign w:val="center"/>
            <w:hideMark/>
          </w:tcPr>
          <w:p w14:paraId="1175747A" w14:textId="77777777" w:rsidR="00E3289C" w:rsidRDefault="00E3289C" w:rsidP="000B19CE">
            <w:pPr>
              <w:keepNext/>
              <w:jc w:val="center"/>
              <w:rPr>
                <w:rFonts w:ascii="Arial" w:hAnsi="Arial" w:cs="Arial"/>
                <w:b/>
                <w:bCs/>
                <w:i/>
                <w:iCs/>
                <w:color w:val="000000"/>
                <w:sz w:val="22"/>
                <w:szCs w:val="22"/>
              </w:rPr>
            </w:pPr>
            <w:r>
              <w:rPr>
                <w:rFonts w:ascii="Arial" w:hAnsi="Arial" w:cs="Arial"/>
                <w:b/>
                <w:bCs/>
                <w:i/>
                <w:iCs/>
                <w:color w:val="000000"/>
                <w:sz w:val="22"/>
                <w:szCs w:val="22"/>
              </w:rPr>
              <w:t>AA+</w:t>
            </w:r>
          </w:p>
        </w:tc>
        <w:tc>
          <w:tcPr>
            <w:tcW w:w="1426" w:type="dxa"/>
            <w:vMerge/>
            <w:tcBorders>
              <w:top w:val="nil"/>
              <w:left w:val="single" w:sz="12" w:space="0" w:color="auto"/>
              <w:bottom w:val="single" w:sz="12" w:space="0" w:color="000000"/>
              <w:right w:val="single" w:sz="12" w:space="0" w:color="auto"/>
            </w:tcBorders>
            <w:vAlign w:val="center"/>
            <w:hideMark/>
          </w:tcPr>
          <w:p w14:paraId="62023526" w14:textId="77777777" w:rsidR="00E3289C" w:rsidRDefault="00E3289C" w:rsidP="000B19CE">
            <w:pPr>
              <w:keepNext/>
              <w:rPr>
                <w:rFonts w:ascii="Arial" w:hAnsi="Arial" w:cs="Arial"/>
                <w:b/>
                <w:bCs/>
                <w:color w:val="000000"/>
                <w:sz w:val="22"/>
                <w:szCs w:val="22"/>
              </w:rPr>
            </w:pPr>
          </w:p>
        </w:tc>
        <w:tc>
          <w:tcPr>
            <w:tcW w:w="1191" w:type="dxa"/>
            <w:vMerge/>
            <w:tcBorders>
              <w:top w:val="nil"/>
              <w:left w:val="single" w:sz="12" w:space="0" w:color="auto"/>
              <w:bottom w:val="single" w:sz="12" w:space="0" w:color="000000"/>
              <w:right w:val="single" w:sz="12" w:space="0" w:color="auto"/>
            </w:tcBorders>
            <w:vAlign w:val="center"/>
            <w:hideMark/>
          </w:tcPr>
          <w:p w14:paraId="09BDE1ED" w14:textId="77777777" w:rsidR="00E3289C" w:rsidRDefault="00E3289C" w:rsidP="000B19CE">
            <w:pPr>
              <w:keepNext/>
              <w:rPr>
                <w:rFonts w:ascii="Arial" w:hAnsi="Arial" w:cs="Arial"/>
                <w:b/>
                <w:bCs/>
                <w:color w:val="000000"/>
                <w:sz w:val="22"/>
                <w:szCs w:val="22"/>
              </w:rPr>
            </w:pPr>
          </w:p>
        </w:tc>
      </w:tr>
      <w:tr w:rsidR="00E3289C" w14:paraId="3D8CB81A" w14:textId="77777777" w:rsidTr="00E3289C">
        <w:trPr>
          <w:trHeight w:val="181"/>
        </w:trPr>
        <w:tc>
          <w:tcPr>
            <w:tcW w:w="3383" w:type="dxa"/>
            <w:vMerge/>
            <w:tcBorders>
              <w:top w:val="nil"/>
              <w:left w:val="single" w:sz="12" w:space="0" w:color="auto"/>
              <w:bottom w:val="single" w:sz="12" w:space="0" w:color="000000"/>
              <w:right w:val="single" w:sz="12" w:space="0" w:color="auto"/>
            </w:tcBorders>
            <w:vAlign w:val="center"/>
            <w:hideMark/>
          </w:tcPr>
          <w:p w14:paraId="5A28845F" w14:textId="77777777" w:rsidR="00E3289C" w:rsidRDefault="00E3289C" w:rsidP="000B19CE">
            <w:pPr>
              <w:keepNext/>
              <w:rPr>
                <w:rFonts w:ascii="Arial" w:hAnsi="Arial" w:cs="Arial"/>
                <w:b/>
                <w:bCs/>
                <w:color w:val="000000"/>
                <w:sz w:val="22"/>
                <w:szCs w:val="22"/>
              </w:rPr>
            </w:pPr>
          </w:p>
        </w:tc>
        <w:tc>
          <w:tcPr>
            <w:tcW w:w="1787" w:type="dxa"/>
            <w:vMerge/>
            <w:tcBorders>
              <w:top w:val="nil"/>
              <w:left w:val="single" w:sz="12" w:space="0" w:color="auto"/>
              <w:bottom w:val="single" w:sz="12" w:space="0" w:color="000000"/>
              <w:right w:val="single" w:sz="12" w:space="0" w:color="auto"/>
            </w:tcBorders>
            <w:vAlign w:val="center"/>
            <w:hideMark/>
          </w:tcPr>
          <w:p w14:paraId="5F6B1C68" w14:textId="77777777" w:rsidR="00E3289C" w:rsidRDefault="00E3289C" w:rsidP="000B19CE">
            <w:pPr>
              <w:keepNext/>
              <w:rPr>
                <w:rFonts w:ascii="Arial" w:hAnsi="Arial" w:cs="Arial"/>
                <w:b/>
                <w:bCs/>
                <w:color w:val="000000"/>
                <w:sz w:val="22"/>
                <w:szCs w:val="22"/>
              </w:rPr>
            </w:pPr>
          </w:p>
        </w:tc>
        <w:tc>
          <w:tcPr>
            <w:tcW w:w="1644" w:type="dxa"/>
            <w:tcBorders>
              <w:top w:val="nil"/>
              <w:left w:val="nil"/>
              <w:bottom w:val="nil"/>
              <w:right w:val="single" w:sz="12" w:space="0" w:color="auto"/>
            </w:tcBorders>
            <w:vAlign w:val="center"/>
            <w:hideMark/>
          </w:tcPr>
          <w:p w14:paraId="2B2DB134" w14:textId="77777777" w:rsidR="00E3289C" w:rsidRDefault="00E3289C" w:rsidP="000B19CE">
            <w:pPr>
              <w:keepNext/>
              <w:jc w:val="center"/>
              <w:rPr>
                <w:rFonts w:ascii="Arial" w:hAnsi="Arial" w:cs="Arial"/>
                <w:b/>
                <w:bCs/>
                <w:i/>
                <w:iCs/>
                <w:color w:val="000000"/>
                <w:sz w:val="22"/>
                <w:szCs w:val="22"/>
              </w:rPr>
            </w:pPr>
            <w:r>
              <w:rPr>
                <w:rFonts w:ascii="Arial" w:hAnsi="Arial" w:cs="Arial"/>
                <w:b/>
                <w:bCs/>
                <w:i/>
                <w:iCs/>
                <w:color w:val="000000"/>
                <w:sz w:val="22"/>
                <w:szCs w:val="22"/>
                <w:lang w:val="en-US"/>
              </w:rPr>
              <w:t>AA,</w:t>
            </w:r>
          </w:p>
        </w:tc>
        <w:tc>
          <w:tcPr>
            <w:tcW w:w="1426" w:type="dxa"/>
            <w:vMerge/>
            <w:tcBorders>
              <w:top w:val="nil"/>
              <w:left w:val="single" w:sz="12" w:space="0" w:color="auto"/>
              <w:bottom w:val="single" w:sz="12" w:space="0" w:color="000000"/>
              <w:right w:val="single" w:sz="12" w:space="0" w:color="auto"/>
            </w:tcBorders>
            <w:vAlign w:val="center"/>
            <w:hideMark/>
          </w:tcPr>
          <w:p w14:paraId="12F3CF31" w14:textId="77777777" w:rsidR="00E3289C" w:rsidRDefault="00E3289C" w:rsidP="000B19CE">
            <w:pPr>
              <w:keepNext/>
              <w:rPr>
                <w:rFonts w:ascii="Arial" w:hAnsi="Arial" w:cs="Arial"/>
                <w:b/>
                <w:bCs/>
                <w:color w:val="000000"/>
                <w:sz w:val="22"/>
                <w:szCs w:val="22"/>
              </w:rPr>
            </w:pPr>
          </w:p>
        </w:tc>
        <w:tc>
          <w:tcPr>
            <w:tcW w:w="1191" w:type="dxa"/>
            <w:vMerge/>
            <w:tcBorders>
              <w:top w:val="nil"/>
              <w:left w:val="single" w:sz="12" w:space="0" w:color="auto"/>
              <w:bottom w:val="single" w:sz="12" w:space="0" w:color="000000"/>
              <w:right w:val="single" w:sz="12" w:space="0" w:color="auto"/>
            </w:tcBorders>
            <w:vAlign w:val="center"/>
            <w:hideMark/>
          </w:tcPr>
          <w:p w14:paraId="2E60403A" w14:textId="77777777" w:rsidR="00E3289C" w:rsidRDefault="00E3289C" w:rsidP="000B19CE">
            <w:pPr>
              <w:keepNext/>
              <w:rPr>
                <w:rFonts w:ascii="Arial" w:hAnsi="Arial" w:cs="Arial"/>
                <w:b/>
                <w:bCs/>
                <w:color w:val="000000"/>
                <w:sz w:val="22"/>
                <w:szCs w:val="22"/>
              </w:rPr>
            </w:pPr>
          </w:p>
        </w:tc>
      </w:tr>
      <w:tr w:rsidR="00E3289C" w14:paraId="6B6E0BFD" w14:textId="77777777" w:rsidTr="00E3289C">
        <w:trPr>
          <w:trHeight w:val="191"/>
        </w:trPr>
        <w:tc>
          <w:tcPr>
            <w:tcW w:w="3383" w:type="dxa"/>
            <w:vMerge/>
            <w:tcBorders>
              <w:top w:val="nil"/>
              <w:left w:val="single" w:sz="12" w:space="0" w:color="auto"/>
              <w:bottom w:val="single" w:sz="12" w:space="0" w:color="000000"/>
              <w:right w:val="single" w:sz="12" w:space="0" w:color="auto"/>
            </w:tcBorders>
            <w:vAlign w:val="center"/>
            <w:hideMark/>
          </w:tcPr>
          <w:p w14:paraId="5A7F9EC7" w14:textId="77777777" w:rsidR="00E3289C" w:rsidRDefault="00E3289C" w:rsidP="000B19CE">
            <w:pPr>
              <w:keepNext/>
              <w:rPr>
                <w:rFonts w:ascii="Arial" w:hAnsi="Arial" w:cs="Arial"/>
                <w:b/>
                <w:bCs/>
                <w:color w:val="000000"/>
                <w:sz w:val="22"/>
                <w:szCs w:val="22"/>
              </w:rPr>
            </w:pPr>
          </w:p>
        </w:tc>
        <w:tc>
          <w:tcPr>
            <w:tcW w:w="1787" w:type="dxa"/>
            <w:vMerge/>
            <w:tcBorders>
              <w:top w:val="nil"/>
              <w:left w:val="single" w:sz="12" w:space="0" w:color="auto"/>
              <w:bottom w:val="single" w:sz="12" w:space="0" w:color="000000"/>
              <w:right w:val="single" w:sz="12" w:space="0" w:color="auto"/>
            </w:tcBorders>
            <w:vAlign w:val="center"/>
            <w:hideMark/>
          </w:tcPr>
          <w:p w14:paraId="6CFB1042" w14:textId="77777777" w:rsidR="00E3289C" w:rsidRDefault="00E3289C" w:rsidP="000B19CE">
            <w:pPr>
              <w:keepNext/>
              <w:rPr>
                <w:rFonts w:ascii="Arial" w:hAnsi="Arial" w:cs="Arial"/>
                <w:b/>
                <w:bCs/>
                <w:color w:val="000000"/>
                <w:sz w:val="22"/>
                <w:szCs w:val="22"/>
              </w:rPr>
            </w:pPr>
          </w:p>
        </w:tc>
        <w:tc>
          <w:tcPr>
            <w:tcW w:w="1644" w:type="dxa"/>
            <w:tcBorders>
              <w:top w:val="nil"/>
              <w:left w:val="nil"/>
              <w:bottom w:val="single" w:sz="12" w:space="0" w:color="auto"/>
              <w:right w:val="single" w:sz="12" w:space="0" w:color="auto"/>
            </w:tcBorders>
            <w:vAlign w:val="center"/>
            <w:hideMark/>
          </w:tcPr>
          <w:p w14:paraId="76AB9741" w14:textId="77777777" w:rsidR="00E3289C" w:rsidRDefault="00E3289C" w:rsidP="000B19CE">
            <w:pPr>
              <w:keepNext/>
              <w:jc w:val="center"/>
              <w:rPr>
                <w:rFonts w:ascii="Arial" w:hAnsi="Arial" w:cs="Arial"/>
                <w:b/>
                <w:bCs/>
                <w:i/>
                <w:iCs/>
                <w:color w:val="000000"/>
                <w:sz w:val="22"/>
                <w:szCs w:val="22"/>
              </w:rPr>
            </w:pPr>
            <w:r>
              <w:rPr>
                <w:rFonts w:ascii="Arial" w:hAnsi="Arial" w:cs="Arial"/>
                <w:b/>
                <w:bCs/>
                <w:i/>
                <w:iCs/>
                <w:color w:val="000000"/>
                <w:sz w:val="22"/>
                <w:szCs w:val="22"/>
              </w:rPr>
              <w:t>AA-</w:t>
            </w:r>
          </w:p>
        </w:tc>
        <w:tc>
          <w:tcPr>
            <w:tcW w:w="1426" w:type="dxa"/>
            <w:vMerge/>
            <w:tcBorders>
              <w:top w:val="nil"/>
              <w:left w:val="single" w:sz="12" w:space="0" w:color="auto"/>
              <w:bottom w:val="single" w:sz="12" w:space="0" w:color="000000"/>
              <w:right w:val="single" w:sz="12" w:space="0" w:color="auto"/>
            </w:tcBorders>
            <w:vAlign w:val="center"/>
            <w:hideMark/>
          </w:tcPr>
          <w:p w14:paraId="2FD68C61" w14:textId="77777777" w:rsidR="00E3289C" w:rsidRDefault="00E3289C" w:rsidP="000B19CE">
            <w:pPr>
              <w:keepNext/>
              <w:rPr>
                <w:rFonts w:ascii="Arial" w:hAnsi="Arial" w:cs="Arial"/>
                <w:b/>
                <w:bCs/>
                <w:color w:val="000000"/>
                <w:sz w:val="22"/>
                <w:szCs w:val="22"/>
              </w:rPr>
            </w:pPr>
          </w:p>
        </w:tc>
        <w:tc>
          <w:tcPr>
            <w:tcW w:w="1191" w:type="dxa"/>
            <w:vMerge/>
            <w:tcBorders>
              <w:top w:val="nil"/>
              <w:left w:val="single" w:sz="12" w:space="0" w:color="auto"/>
              <w:bottom w:val="single" w:sz="12" w:space="0" w:color="000000"/>
              <w:right w:val="single" w:sz="12" w:space="0" w:color="auto"/>
            </w:tcBorders>
            <w:vAlign w:val="center"/>
            <w:hideMark/>
          </w:tcPr>
          <w:p w14:paraId="54D43124" w14:textId="77777777" w:rsidR="00E3289C" w:rsidRDefault="00E3289C" w:rsidP="000B19CE">
            <w:pPr>
              <w:keepNext/>
              <w:rPr>
                <w:rFonts w:ascii="Arial" w:hAnsi="Arial" w:cs="Arial"/>
                <w:b/>
                <w:bCs/>
                <w:color w:val="000000"/>
                <w:sz w:val="22"/>
                <w:szCs w:val="22"/>
              </w:rPr>
            </w:pPr>
          </w:p>
        </w:tc>
      </w:tr>
      <w:tr w:rsidR="00E3289C" w14:paraId="0D5A09ED" w14:textId="77777777" w:rsidTr="00E3289C">
        <w:trPr>
          <w:trHeight w:val="719"/>
        </w:trPr>
        <w:tc>
          <w:tcPr>
            <w:tcW w:w="3383" w:type="dxa"/>
            <w:vMerge w:val="restart"/>
            <w:tcBorders>
              <w:top w:val="nil"/>
              <w:left w:val="single" w:sz="12" w:space="0" w:color="auto"/>
              <w:bottom w:val="single" w:sz="12" w:space="0" w:color="000000"/>
              <w:right w:val="single" w:sz="12" w:space="0" w:color="auto"/>
            </w:tcBorders>
            <w:vAlign w:val="center"/>
            <w:hideMark/>
          </w:tcPr>
          <w:p w14:paraId="77CEE7E9" w14:textId="77777777" w:rsidR="00E3289C" w:rsidRDefault="00E3289C" w:rsidP="000B19CE">
            <w:pPr>
              <w:keepNext/>
              <w:rPr>
                <w:rFonts w:ascii="Arial" w:hAnsi="Arial" w:cs="Arial"/>
                <w:b/>
                <w:bCs/>
                <w:color w:val="000000"/>
                <w:sz w:val="22"/>
                <w:szCs w:val="22"/>
              </w:rPr>
            </w:pPr>
            <w:r>
              <w:rPr>
                <w:rFonts w:ascii="Arial" w:hAnsi="Arial" w:cs="Arial"/>
                <w:b/>
                <w:bCs/>
                <w:iCs/>
                <w:color w:val="000000"/>
                <w:sz w:val="22"/>
                <w:szCs w:val="22"/>
                <w:lang w:val="en-US"/>
              </w:rPr>
              <w:t xml:space="preserve">Medium Quality Rated </w:t>
            </w:r>
            <w:proofErr w:type="gramStart"/>
            <w:r>
              <w:rPr>
                <w:rFonts w:ascii="Arial" w:hAnsi="Arial" w:cs="Arial"/>
                <w:b/>
                <w:bCs/>
                <w:iCs/>
                <w:color w:val="000000"/>
                <w:sz w:val="22"/>
                <w:szCs w:val="22"/>
                <w:lang w:val="en-US"/>
              </w:rPr>
              <w:t>Non UK</w:t>
            </w:r>
            <w:proofErr w:type="gramEnd"/>
            <w:r>
              <w:rPr>
                <w:rFonts w:ascii="Arial" w:hAnsi="Arial" w:cs="Arial"/>
                <w:b/>
                <w:bCs/>
                <w:iCs/>
                <w:color w:val="000000"/>
                <w:sz w:val="22"/>
                <w:szCs w:val="22"/>
                <w:lang w:val="en-US"/>
              </w:rPr>
              <w:t xml:space="preserve"> Banks</w:t>
            </w:r>
          </w:p>
        </w:tc>
        <w:tc>
          <w:tcPr>
            <w:tcW w:w="1787" w:type="dxa"/>
            <w:vMerge w:val="restart"/>
            <w:tcBorders>
              <w:top w:val="nil"/>
              <w:left w:val="single" w:sz="12" w:space="0" w:color="auto"/>
              <w:bottom w:val="single" w:sz="12" w:space="0" w:color="000000"/>
              <w:right w:val="single" w:sz="12" w:space="0" w:color="auto"/>
            </w:tcBorders>
            <w:vAlign w:val="center"/>
            <w:hideMark/>
          </w:tcPr>
          <w:p w14:paraId="57A3D15A" w14:textId="77777777" w:rsidR="00E3289C" w:rsidRDefault="00E3289C" w:rsidP="000B19CE">
            <w:pPr>
              <w:keepNext/>
              <w:jc w:val="center"/>
              <w:rPr>
                <w:rFonts w:ascii="Arial" w:hAnsi="Arial" w:cs="Arial"/>
                <w:b/>
                <w:bCs/>
                <w:color w:val="000000"/>
                <w:sz w:val="22"/>
                <w:szCs w:val="22"/>
              </w:rPr>
            </w:pPr>
            <w:r>
              <w:rPr>
                <w:rFonts w:ascii="Arial" w:hAnsi="Arial" w:cs="Arial"/>
                <w:b/>
                <w:bCs/>
                <w:color w:val="000000"/>
                <w:sz w:val="22"/>
                <w:szCs w:val="22"/>
              </w:rPr>
              <w:t>Purple</w:t>
            </w:r>
          </w:p>
        </w:tc>
        <w:tc>
          <w:tcPr>
            <w:tcW w:w="1644" w:type="dxa"/>
            <w:tcBorders>
              <w:top w:val="nil"/>
              <w:left w:val="nil"/>
              <w:bottom w:val="nil"/>
              <w:right w:val="single" w:sz="12" w:space="0" w:color="auto"/>
            </w:tcBorders>
            <w:vAlign w:val="center"/>
            <w:hideMark/>
          </w:tcPr>
          <w:p w14:paraId="42A33F57"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A+</w:t>
            </w:r>
          </w:p>
        </w:tc>
        <w:tc>
          <w:tcPr>
            <w:tcW w:w="1426" w:type="dxa"/>
            <w:vMerge w:val="restart"/>
            <w:tcBorders>
              <w:top w:val="nil"/>
              <w:left w:val="single" w:sz="12" w:space="0" w:color="auto"/>
              <w:bottom w:val="single" w:sz="12" w:space="0" w:color="000000"/>
              <w:right w:val="single" w:sz="12" w:space="0" w:color="auto"/>
            </w:tcBorders>
            <w:vAlign w:val="center"/>
            <w:hideMark/>
          </w:tcPr>
          <w:p w14:paraId="0BC1B7B0"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£4m</w:t>
            </w:r>
          </w:p>
        </w:tc>
        <w:tc>
          <w:tcPr>
            <w:tcW w:w="1191" w:type="dxa"/>
            <w:vMerge w:val="restart"/>
            <w:tcBorders>
              <w:top w:val="nil"/>
              <w:left w:val="single" w:sz="12" w:space="0" w:color="auto"/>
              <w:bottom w:val="single" w:sz="12" w:space="0" w:color="000000"/>
              <w:right w:val="single" w:sz="12" w:space="0" w:color="auto"/>
            </w:tcBorders>
            <w:vAlign w:val="center"/>
            <w:hideMark/>
          </w:tcPr>
          <w:p w14:paraId="21B08E91" w14:textId="77777777" w:rsidR="00E3289C" w:rsidRDefault="00E3289C" w:rsidP="000B19CE">
            <w:pPr>
              <w:keepNext/>
              <w:jc w:val="center"/>
              <w:rPr>
                <w:rFonts w:ascii="Arial" w:hAnsi="Arial" w:cs="Arial"/>
                <w:b/>
                <w:bCs/>
                <w:color w:val="000000"/>
                <w:sz w:val="22"/>
                <w:szCs w:val="22"/>
              </w:rPr>
            </w:pPr>
            <w:r>
              <w:rPr>
                <w:rFonts w:ascii="Arial" w:hAnsi="Arial" w:cs="Arial"/>
                <w:b/>
                <w:bCs/>
                <w:color w:val="000000"/>
                <w:sz w:val="22"/>
                <w:szCs w:val="22"/>
              </w:rPr>
              <w:t>2 years</w:t>
            </w:r>
          </w:p>
        </w:tc>
      </w:tr>
      <w:tr w:rsidR="00E3289C" w14:paraId="5E7DEC05" w14:textId="77777777" w:rsidTr="00E3289C">
        <w:trPr>
          <w:trHeight w:val="191"/>
        </w:trPr>
        <w:tc>
          <w:tcPr>
            <w:tcW w:w="3383" w:type="dxa"/>
            <w:vMerge/>
            <w:tcBorders>
              <w:top w:val="nil"/>
              <w:left w:val="single" w:sz="12" w:space="0" w:color="auto"/>
              <w:bottom w:val="single" w:sz="12" w:space="0" w:color="000000"/>
              <w:right w:val="single" w:sz="12" w:space="0" w:color="auto"/>
            </w:tcBorders>
            <w:vAlign w:val="center"/>
            <w:hideMark/>
          </w:tcPr>
          <w:p w14:paraId="523B73E2" w14:textId="77777777" w:rsidR="00E3289C" w:rsidRDefault="00E3289C" w:rsidP="000B19CE">
            <w:pPr>
              <w:keepNext/>
              <w:rPr>
                <w:rFonts w:ascii="Arial" w:hAnsi="Arial" w:cs="Arial"/>
                <w:b/>
                <w:bCs/>
                <w:color w:val="000000"/>
                <w:sz w:val="22"/>
                <w:szCs w:val="22"/>
              </w:rPr>
            </w:pPr>
          </w:p>
        </w:tc>
        <w:tc>
          <w:tcPr>
            <w:tcW w:w="1787" w:type="dxa"/>
            <w:vMerge/>
            <w:tcBorders>
              <w:top w:val="nil"/>
              <w:left w:val="single" w:sz="12" w:space="0" w:color="auto"/>
              <w:bottom w:val="single" w:sz="12" w:space="0" w:color="000000"/>
              <w:right w:val="single" w:sz="12" w:space="0" w:color="auto"/>
            </w:tcBorders>
            <w:vAlign w:val="center"/>
            <w:hideMark/>
          </w:tcPr>
          <w:p w14:paraId="4DD97413" w14:textId="77777777" w:rsidR="00E3289C" w:rsidRDefault="00E3289C" w:rsidP="000B19CE">
            <w:pPr>
              <w:keepNext/>
              <w:rPr>
                <w:rFonts w:ascii="Arial" w:hAnsi="Arial" w:cs="Arial"/>
                <w:b/>
                <w:bCs/>
                <w:color w:val="000000"/>
                <w:sz w:val="22"/>
                <w:szCs w:val="22"/>
              </w:rPr>
            </w:pPr>
          </w:p>
        </w:tc>
        <w:tc>
          <w:tcPr>
            <w:tcW w:w="1644" w:type="dxa"/>
            <w:tcBorders>
              <w:top w:val="nil"/>
              <w:left w:val="nil"/>
              <w:bottom w:val="single" w:sz="12" w:space="0" w:color="auto"/>
              <w:right w:val="single" w:sz="12" w:space="0" w:color="auto"/>
            </w:tcBorders>
            <w:vAlign w:val="center"/>
            <w:hideMark/>
          </w:tcPr>
          <w:p w14:paraId="2A46E7FA"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A</w:t>
            </w:r>
          </w:p>
        </w:tc>
        <w:tc>
          <w:tcPr>
            <w:tcW w:w="1426" w:type="dxa"/>
            <w:vMerge/>
            <w:tcBorders>
              <w:top w:val="nil"/>
              <w:left w:val="single" w:sz="12" w:space="0" w:color="auto"/>
              <w:bottom w:val="single" w:sz="12" w:space="0" w:color="000000"/>
              <w:right w:val="single" w:sz="12" w:space="0" w:color="auto"/>
            </w:tcBorders>
            <w:vAlign w:val="center"/>
            <w:hideMark/>
          </w:tcPr>
          <w:p w14:paraId="7D3E2AF2" w14:textId="77777777" w:rsidR="00E3289C" w:rsidRDefault="00E3289C" w:rsidP="000B19CE">
            <w:pPr>
              <w:keepNext/>
              <w:rPr>
                <w:rFonts w:ascii="Arial" w:hAnsi="Arial" w:cs="Arial"/>
                <w:b/>
                <w:bCs/>
                <w:color w:val="000000"/>
                <w:sz w:val="22"/>
                <w:szCs w:val="22"/>
              </w:rPr>
            </w:pPr>
          </w:p>
        </w:tc>
        <w:tc>
          <w:tcPr>
            <w:tcW w:w="1191" w:type="dxa"/>
            <w:vMerge/>
            <w:tcBorders>
              <w:top w:val="nil"/>
              <w:left w:val="single" w:sz="12" w:space="0" w:color="auto"/>
              <w:bottom w:val="single" w:sz="12" w:space="0" w:color="000000"/>
              <w:right w:val="single" w:sz="12" w:space="0" w:color="auto"/>
            </w:tcBorders>
            <w:vAlign w:val="center"/>
            <w:hideMark/>
          </w:tcPr>
          <w:p w14:paraId="550290E8" w14:textId="77777777" w:rsidR="00E3289C" w:rsidRDefault="00E3289C" w:rsidP="000B19CE">
            <w:pPr>
              <w:keepNext/>
              <w:rPr>
                <w:rFonts w:ascii="Arial" w:hAnsi="Arial" w:cs="Arial"/>
                <w:b/>
                <w:bCs/>
                <w:color w:val="000000"/>
                <w:sz w:val="22"/>
                <w:szCs w:val="22"/>
              </w:rPr>
            </w:pPr>
          </w:p>
        </w:tc>
      </w:tr>
      <w:tr w:rsidR="00E3289C" w14:paraId="2B7154E5" w14:textId="77777777" w:rsidTr="00E3289C">
        <w:trPr>
          <w:trHeight w:val="1449"/>
        </w:trPr>
        <w:tc>
          <w:tcPr>
            <w:tcW w:w="3383" w:type="dxa"/>
            <w:vMerge w:val="restart"/>
            <w:tcBorders>
              <w:top w:val="nil"/>
              <w:left w:val="single" w:sz="12" w:space="0" w:color="auto"/>
              <w:bottom w:val="single" w:sz="12" w:space="0" w:color="000000"/>
              <w:right w:val="single" w:sz="12" w:space="0" w:color="auto"/>
            </w:tcBorders>
            <w:vAlign w:val="center"/>
            <w:hideMark/>
          </w:tcPr>
          <w:p w14:paraId="1FD4708F" w14:textId="77777777" w:rsidR="00E3289C" w:rsidRDefault="00E3289C" w:rsidP="000B19CE">
            <w:pPr>
              <w:keepNext/>
              <w:rPr>
                <w:rFonts w:ascii="Arial" w:hAnsi="Arial" w:cs="Arial"/>
                <w:b/>
                <w:bCs/>
                <w:color w:val="000000"/>
                <w:sz w:val="22"/>
                <w:szCs w:val="22"/>
              </w:rPr>
            </w:pPr>
            <w:r>
              <w:rPr>
                <w:rFonts w:ascii="Arial" w:hAnsi="Arial" w:cs="Arial"/>
                <w:b/>
                <w:bCs/>
                <w:iCs/>
                <w:color w:val="000000"/>
                <w:sz w:val="22"/>
                <w:szCs w:val="22"/>
                <w:lang w:val="en-US"/>
              </w:rPr>
              <w:t>UK Medium Quality Rated Banks and Building Societies</w:t>
            </w:r>
          </w:p>
        </w:tc>
        <w:tc>
          <w:tcPr>
            <w:tcW w:w="1787" w:type="dxa"/>
            <w:vMerge w:val="restart"/>
            <w:tcBorders>
              <w:top w:val="nil"/>
              <w:left w:val="single" w:sz="12" w:space="0" w:color="auto"/>
              <w:bottom w:val="single" w:sz="12" w:space="0" w:color="000000"/>
              <w:right w:val="single" w:sz="12" w:space="0" w:color="auto"/>
            </w:tcBorders>
            <w:vAlign w:val="center"/>
            <w:hideMark/>
          </w:tcPr>
          <w:p w14:paraId="33EED147" w14:textId="77777777" w:rsidR="00E3289C" w:rsidRDefault="00E3289C" w:rsidP="000B19CE">
            <w:pPr>
              <w:keepNext/>
              <w:jc w:val="center"/>
              <w:rPr>
                <w:rFonts w:ascii="Arial" w:hAnsi="Arial" w:cs="Arial"/>
                <w:b/>
                <w:bCs/>
                <w:color w:val="000000"/>
                <w:sz w:val="22"/>
                <w:szCs w:val="22"/>
              </w:rPr>
            </w:pPr>
            <w:r>
              <w:rPr>
                <w:rFonts w:ascii="Arial" w:hAnsi="Arial" w:cs="Arial"/>
                <w:b/>
                <w:bCs/>
                <w:color w:val="000000"/>
                <w:sz w:val="22"/>
                <w:szCs w:val="22"/>
              </w:rPr>
              <w:t>Orange</w:t>
            </w:r>
          </w:p>
        </w:tc>
        <w:tc>
          <w:tcPr>
            <w:tcW w:w="1644" w:type="dxa"/>
            <w:tcBorders>
              <w:top w:val="nil"/>
              <w:left w:val="nil"/>
              <w:bottom w:val="nil"/>
              <w:right w:val="single" w:sz="12" w:space="0" w:color="auto"/>
            </w:tcBorders>
            <w:vAlign w:val="center"/>
            <w:hideMark/>
          </w:tcPr>
          <w:p w14:paraId="6BDF5487"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A+</w:t>
            </w:r>
          </w:p>
        </w:tc>
        <w:tc>
          <w:tcPr>
            <w:tcW w:w="1426" w:type="dxa"/>
            <w:vMerge w:val="restart"/>
            <w:tcBorders>
              <w:top w:val="nil"/>
              <w:left w:val="single" w:sz="12" w:space="0" w:color="auto"/>
              <w:bottom w:val="single" w:sz="12" w:space="0" w:color="000000"/>
              <w:right w:val="single" w:sz="12" w:space="0" w:color="auto"/>
            </w:tcBorders>
            <w:vAlign w:val="center"/>
            <w:hideMark/>
          </w:tcPr>
          <w:p w14:paraId="71BAA0AC"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£6m</w:t>
            </w:r>
          </w:p>
        </w:tc>
        <w:tc>
          <w:tcPr>
            <w:tcW w:w="1191" w:type="dxa"/>
            <w:vMerge w:val="restart"/>
            <w:tcBorders>
              <w:top w:val="nil"/>
              <w:left w:val="single" w:sz="12" w:space="0" w:color="auto"/>
              <w:bottom w:val="single" w:sz="12" w:space="0" w:color="000000"/>
              <w:right w:val="single" w:sz="12" w:space="0" w:color="auto"/>
            </w:tcBorders>
            <w:vAlign w:val="center"/>
            <w:hideMark/>
          </w:tcPr>
          <w:p w14:paraId="1FB2DA67" w14:textId="43971DC0" w:rsidR="00E3289C" w:rsidRDefault="000B19CE" w:rsidP="000B19CE">
            <w:pPr>
              <w:keepNext/>
              <w:jc w:val="center"/>
              <w:rPr>
                <w:rFonts w:ascii="Arial" w:hAnsi="Arial" w:cs="Arial"/>
                <w:b/>
                <w:bCs/>
                <w:color w:val="000000"/>
                <w:sz w:val="22"/>
                <w:szCs w:val="22"/>
              </w:rPr>
            </w:pPr>
            <w:r>
              <w:rPr>
                <w:rFonts w:ascii="Arial" w:hAnsi="Arial" w:cs="Arial"/>
                <w:b/>
                <w:bCs/>
                <w:iCs/>
                <w:color w:val="000000"/>
                <w:sz w:val="22"/>
                <w:szCs w:val="22"/>
                <w:lang w:val="en-US"/>
              </w:rPr>
              <w:t>1 year</w:t>
            </w:r>
          </w:p>
        </w:tc>
      </w:tr>
      <w:tr w:rsidR="00E3289C" w14:paraId="15DA427B" w14:textId="77777777" w:rsidTr="000B19CE">
        <w:trPr>
          <w:trHeight w:val="191"/>
        </w:trPr>
        <w:tc>
          <w:tcPr>
            <w:tcW w:w="3383" w:type="dxa"/>
            <w:vMerge/>
            <w:tcBorders>
              <w:top w:val="nil"/>
              <w:left w:val="single" w:sz="12" w:space="0" w:color="auto"/>
              <w:bottom w:val="single" w:sz="12" w:space="0" w:color="000000"/>
              <w:right w:val="single" w:sz="12" w:space="0" w:color="auto"/>
            </w:tcBorders>
            <w:vAlign w:val="center"/>
            <w:hideMark/>
          </w:tcPr>
          <w:p w14:paraId="35D2A6DD" w14:textId="77777777" w:rsidR="00E3289C" w:rsidRDefault="00E3289C" w:rsidP="000B19CE">
            <w:pPr>
              <w:keepNext/>
              <w:rPr>
                <w:rFonts w:ascii="Arial" w:hAnsi="Arial" w:cs="Arial"/>
                <w:b/>
                <w:bCs/>
                <w:color w:val="000000"/>
                <w:sz w:val="22"/>
                <w:szCs w:val="22"/>
              </w:rPr>
            </w:pPr>
          </w:p>
        </w:tc>
        <w:tc>
          <w:tcPr>
            <w:tcW w:w="1787" w:type="dxa"/>
            <w:vMerge/>
            <w:tcBorders>
              <w:top w:val="nil"/>
              <w:left w:val="single" w:sz="12" w:space="0" w:color="auto"/>
              <w:bottom w:val="single" w:sz="12" w:space="0" w:color="000000"/>
              <w:right w:val="single" w:sz="12" w:space="0" w:color="auto"/>
            </w:tcBorders>
            <w:vAlign w:val="center"/>
            <w:hideMark/>
          </w:tcPr>
          <w:p w14:paraId="6D5845AC" w14:textId="77777777" w:rsidR="00E3289C" w:rsidRDefault="00E3289C" w:rsidP="000B19CE">
            <w:pPr>
              <w:keepNext/>
              <w:rPr>
                <w:rFonts w:ascii="Arial" w:hAnsi="Arial" w:cs="Arial"/>
                <w:b/>
                <w:bCs/>
                <w:color w:val="000000"/>
                <w:sz w:val="22"/>
                <w:szCs w:val="22"/>
              </w:rPr>
            </w:pPr>
          </w:p>
        </w:tc>
        <w:tc>
          <w:tcPr>
            <w:tcW w:w="1644" w:type="dxa"/>
            <w:tcBorders>
              <w:top w:val="nil"/>
              <w:left w:val="nil"/>
              <w:bottom w:val="single" w:sz="12" w:space="0" w:color="auto"/>
              <w:right w:val="single" w:sz="12" w:space="0" w:color="auto"/>
            </w:tcBorders>
            <w:vAlign w:val="center"/>
            <w:hideMark/>
          </w:tcPr>
          <w:p w14:paraId="6E75CC12"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A</w:t>
            </w:r>
          </w:p>
        </w:tc>
        <w:tc>
          <w:tcPr>
            <w:tcW w:w="1426" w:type="dxa"/>
            <w:vMerge/>
            <w:tcBorders>
              <w:top w:val="nil"/>
              <w:left w:val="single" w:sz="12" w:space="0" w:color="auto"/>
              <w:bottom w:val="single" w:sz="12" w:space="0" w:color="000000"/>
              <w:right w:val="single" w:sz="12" w:space="0" w:color="auto"/>
            </w:tcBorders>
            <w:vAlign w:val="center"/>
            <w:hideMark/>
          </w:tcPr>
          <w:p w14:paraId="3822C0A8" w14:textId="77777777" w:rsidR="00E3289C" w:rsidRDefault="00E3289C" w:rsidP="000B19CE">
            <w:pPr>
              <w:keepNext/>
              <w:rPr>
                <w:rFonts w:ascii="Arial" w:hAnsi="Arial" w:cs="Arial"/>
                <w:b/>
                <w:bCs/>
                <w:color w:val="000000"/>
                <w:sz w:val="22"/>
                <w:szCs w:val="22"/>
              </w:rPr>
            </w:pPr>
          </w:p>
        </w:tc>
        <w:tc>
          <w:tcPr>
            <w:tcW w:w="1191" w:type="dxa"/>
            <w:vMerge/>
            <w:tcBorders>
              <w:top w:val="nil"/>
              <w:left w:val="single" w:sz="12" w:space="0" w:color="auto"/>
              <w:bottom w:val="single" w:sz="12" w:space="0" w:color="000000"/>
              <w:right w:val="single" w:sz="12" w:space="0" w:color="auto"/>
            </w:tcBorders>
            <w:vAlign w:val="center"/>
            <w:hideMark/>
          </w:tcPr>
          <w:p w14:paraId="2845B916" w14:textId="77777777" w:rsidR="00E3289C" w:rsidRDefault="00E3289C" w:rsidP="000B19CE">
            <w:pPr>
              <w:keepNext/>
              <w:rPr>
                <w:rFonts w:ascii="Arial" w:hAnsi="Arial" w:cs="Arial"/>
                <w:b/>
                <w:bCs/>
                <w:color w:val="000000"/>
                <w:sz w:val="22"/>
                <w:szCs w:val="22"/>
              </w:rPr>
            </w:pPr>
          </w:p>
        </w:tc>
      </w:tr>
      <w:tr w:rsidR="000B19CE" w14:paraId="634404D9" w14:textId="77777777" w:rsidTr="000B19CE">
        <w:trPr>
          <w:trHeight w:val="692"/>
        </w:trPr>
        <w:tc>
          <w:tcPr>
            <w:tcW w:w="3383" w:type="dxa"/>
            <w:tcBorders>
              <w:top w:val="single" w:sz="12" w:space="0" w:color="000000"/>
              <w:left w:val="single" w:sz="12" w:space="0" w:color="000000"/>
              <w:bottom w:val="single" w:sz="12" w:space="0" w:color="000000"/>
              <w:right w:val="single" w:sz="12" w:space="0" w:color="auto"/>
            </w:tcBorders>
            <w:vAlign w:val="center"/>
            <w:hideMark/>
          </w:tcPr>
          <w:p w14:paraId="71353914" w14:textId="210C3DDC" w:rsidR="000B19CE" w:rsidRDefault="000B19CE" w:rsidP="000B19CE">
            <w:pPr>
              <w:keepNext/>
              <w:rPr>
                <w:rFonts w:ascii="Arial" w:hAnsi="Arial" w:cs="Arial"/>
                <w:b/>
                <w:bCs/>
                <w:color w:val="000000"/>
                <w:sz w:val="22"/>
                <w:szCs w:val="22"/>
              </w:rPr>
            </w:pPr>
            <w:r>
              <w:rPr>
                <w:rFonts w:ascii="Arial" w:hAnsi="Arial" w:cs="Arial"/>
                <w:b/>
                <w:bCs/>
                <w:iCs/>
                <w:color w:val="000000"/>
                <w:sz w:val="22"/>
                <w:szCs w:val="22"/>
                <w:lang w:val="en-US"/>
              </w:rPr>
              <w:t xml:space="preserve">Part </w:t>
            </w:r>
            <w:proofErr w:type="spellStart"/>
            <w:r>
              <w:rPr>
                <w:rFonts w:ascii="Arial" w:hAnsi="Arial" w:cs="Arial"/>
                <w:b/>
                <w:bCs/>
                <w:iCs/>
                <w:color w:val="000000"/>
                <w:sz w:val="22"/>
                <w:szCs w:val="22"/>
                <w:lang w:val="en-US"/>
              </w:rPr>
              <w:t>Nationalised</w:t>
            </w:r>
            <w:proofErr w:type="spellEnd"/>
          </w:p>
        </w:tc>
        <w:tc>
          <w:tcPr>
            <w:tcW w:w="1787" w:type="dxa"/>
            <w:tcBorders>
              <w:top w:val="nil"/>
              <w:left w:val="single" w:sz="12" w:space="0" w:color="auto"/>
              <w:bottom w:val="single" w:sz="12" w:space="0" w:color="000000"/>
              <w:right w:val="single" w:sz="12" w:space="0" w:color="auto"/>
            </w:tcBorders>
            <w:vAlign w:val="center"/>
            <w:hideMark/>
          </w:tcPr>
          <w:p w14:paraId="21DBB0A6" w14:textId="77777777" w:rsidR="000B19CE" w:rsidRDefault="000B19CE" w:rsidP="000B19CE">
            <w:pPr>
              <w:keepNext/>
              <w:jc w:val="center"/>
              <w:rPr>
                <w:rFonts w:ascii="Arial" w:hAnsi="Arial" w:cs="Arial"/>
                <w:b/>
                <w:bCs/>
                <w:color w:val="000000"/>
                <w:sz w:val="22"/>
                <w:szCs w:val="22"/>
              </w:rPr>
            </w:pPr>
            <w:r>
              <w:rPr>
                <w:rFonts w:ascii="Arial" w:hAnsi="Arial" w:cs="Arial"/>
                <w:b/>
                <w:bCs/>
                <w:color w:val="000000"/>
                <w:sz w:val="22"/>
                <w:szCs w:val="22"/>
              </w:rPr>
              <w:t>Blue</w:t>
            </w:r>
          </w:p>
        </w:tc>
        <w:tc>
          <w:tcPr>
            <w:tcW w:w="1644" w:type="dxa"/>
            <w:tcBorders>
              <w:top w:val="nil"/>
              <w:left w:val="single" w:sz="12" w:space="0" w:color="auto"/>
              <w:bottom w:val="single" w:sz="12" w:space="0" w:color="000000"/>
              <w:right w:val="single" w:sz="12" w:space="0" w:color="auto"/>
            </w:tcBorders>
            <w:vAlign w:val="center"/>
            <w:hideMark/>
          </w:tcPr>
          <w:p w14:paraId="041497DD" w14:textId="77777777" w:rsidR="000B19CE" w:rsidRDefault="000B19CE" w:rsidP="000B19CE">
            <w:pPr>
              <w:keepNext/>
              <w:jc w:val="center"/>
              <w:rPr>
                <w:rFonts w:ascii="Arial" w:hAnsi="Arial" w:cs="Arial"/>
                <w:b/>
                <w:bCs/>
                <w:color w:val="000000"/>
                <w:sz w:val="22"/>
                <w:szCs w:val="22"/>
              </w:rPr>
            </w:pPr>
            <w:r>
              <w:rPr>
                <w:rFonts w:ascii="Arial" w:hAnsi="Arial" w:cs="Arial"/>
                <w:b/>
                <w:bCs/>
                <w:iCs/>
                <w:color w:val="000000"/>
                <w:sz w:val="22"/>
                <w:szCs w:val="22"/>
                <w:lang w:val="en-US"/>
              </w:rPr>
              <w:t>N/A</w:t>
            </w:r>
          </w:p>
        </w:tc>
        <w:tc>
          <w:tcPr>
            <w:tcW w:w="1426" w:type="dxa"/>
            <w:tcBorders>
              <w:top w:val="nil"/>
              <w:left w:val="single" w:sz="12" w:space="0" w:color="auto"/>
              <w:bottom w:val="single" w:sz="12" w:space="0" w:color="000000"/>
              <w:right w:val="single" w:sz="12" w:space="0" w:color="auto"/>
            </w:tcBorders>
            <w:vAlign w:val="center"/>
            <w:hideMark/>
          </w:tcPr>
          <w:p w14:paraId="2512BEAC" w14:textId="77777777" w:rsidR="000B19CE" w:rsidRDefault="000B19CE" w:rsidP="000B19CE">
            <w:pPr>
              <w:keepNext/>
              <w:jc w:val="center"/>
              <w:rPr>
                <w:rFonts w:ascii="Arial" w:hAnsi="Arial" w:cs="Arial"/>
                <w:b/>
                <w:bCs/>
                <w:color w:val="000000"/>
                <w:sz w:val="22"/>
                <w:szCs w:val="22"/>
              </w:rPr>
            </w:pPr>
            <w:r>
              <w:rPr>
                <w:rFonts w:ascii="Arial" w:hAnsi="Arial" w:cs="Arial"/>
                <w:b/>
                <w:bCs/>
                <w:iCs/>
                <w:color w:val="000000"/>
                <w:sz w:val="22"/>
                <w:szCs w:val="22"/>
                <w:lang w:val="en-US"/>
              </w:rPr>
              <w:t xml:space="preserve">£10m </w:t>
            </w:r>
          </w:p>
        </w:tc>
        <w:tc>
          <w:tcPr>
            <w:tcW w:w="1191" w:type="dxa"/>
            <w:tcBorders>
              <w:top w:val="nil"/>
              <w:left w:val="single" w:sz="12" w:space="0" w:color="auto"/>
              <w:bottom w:val="single" w:sz="12" w:space="0" w:color="000000"/>
              <w:right w:val="single" w:sz="12" w:space="0" w:color="auto"/>
            </w:tcBorders>
            <w:vAlign w:val="center"/>
            <w:hideMark/>
          </w:tcPr>
          <w:p w14:paraId="5B29879A" w14:textId="699AD52B" w:rsidR="000B19CE" w:rsidRDefault="000B19CE" w:rsidP="000B19CE">
            <w:pPr>
              <w:keepNext/>
              <w:jc w:val="center"/>
              <w:rPr>
                <w:rFonts w:ascii="Arial" w:hAnsi="Arial" w:cs="Arial"/>
                <w:b/>
                <w:bCs/>
                <w:color w:val="000000"/>
                <w:sz w:val="22"/>
                <w:szCs w:val="22"/>
              </w:rPr>
            </w:pPr>
            <w:r>
              <w:rPr>
                <w:rFonts w:ascii="Arial" w:hAnsi="Arial" w:cs="Arial"/>
                <w:b/>
                <w:bCs/>
                <w:color w:val="000000"/>
                <w:sz w:val="22"/>
                <w:szCs w:val="22"/>
              </w:rPr>
              <w:t>1 year</w:t>
            </w:r>
          </w:p>
        </w:tc>
      </w:tr>
      <w:tr w:rsidR="00E3289C" w14:paraId="34C74197" w14:textId="77777777" w:rsidTr="000B19CE">
        <w:trPr>
          <w:trHeight w:val="564"/>
        </w:trPr>
        <w:tc>
          <w:tcPr>
            <w:tcW w:w="3383" w:type="dxa"/>
            <w:tcBorders>
              <w:top w:val="single" w:sz="12" w:space="0" w:color="000000"/>
              <w:left w:val="single" w:sz="12" w:space="0" w:color="000000"/>
              <w:bottom w:val="single" w:sz="12" w:space="0" w:color="auto"/>
              <w:right w:val="single" w:sz="12" w:space="0" w:color="auto"/>
            </w:tcBorders>
            <w:vAlign w:val="center"/>
            <w:hideMark/>
          </w:tcPr>
          <w:p w14:paraId="10CE9BF5" w14:textId="77777777" w:rsidR="00E3289C" w:rsidRDefault="00E3289C" w:rsidP="000B19CE">
            <w:pPr>
              <w:keepNext/>
              <w:rPr>
                <w:rFonts w:ascii="Arial" w:hAnsi="Arial" w:cs="Arial"/>
                <w:b/>
                <w:bCs/>
                <w:color w:val="000000"/>
                <w:sz w:val="22"/>
                <w:szCs w:val="22"/>
              </w:rPr>
            </w:pPr>
            <w:r>
              <w:rPr>
                <w:rFonts w:ascii="Arial" w:hAnsi="Arial" w:cs="Arial"/>
                <w:b/>
                <w:bCs/>
                <w:iCs/>
                <w:color w:val="000000"/>
                <w:sz w:val="22"/>
                <w:szCs w:val="22"/>
                <w:lang w:val="en-US"/>
              </w:rPr>
              <w:t xml:space="preserve">Unrated Building Societies or with rating below A </w:t>
            </w:r>
          </w:p>
        </w:tc>
        <w:tc>
          <w:tcPr>
            <w:tcW w:w="1787" w:type="dxa"/>
            <w:tcBorders>
              <w:top w:val="nil"/>
              <w:left w:val="nil"/>
              <w:bottom w:val="single" w:sz="12" w:space="0" w:color="auto"/>
              <w:right w:val="single" w:sz="12" w:space="0" w:color="auto"/>
            </w:tcBorders>
            <w:vAlign w:val="center"/>
            <w:hideMark/>
          </w:tcPr>
          <w:p w14:paraId="6141C012" w14:textId="77777777" w:rsidR="00E3289C" w:rsidRDefault="00E3289C" w:rsidP="000B19CE">
            <w:pPr>
              <w:keepNext/>
              <w:jc w:val="center"/>
              <w:rPr>
                <w:rFonts w:ascii="Arial" w:hAnsi="Arial" w:cs="Arial"/>
                <w:b/>
                <w:bCs/>
                <w:color w:val="000000"/>
                <w:sz w:val="22"/>
                <w:szCs w:val="22"/>
              </w:rPr>
            </w:pPr>
            <w:r>
              <w:rPr>
                <w:rFonts w:ascii="Arial" w:hAnsi="Arial" w:cs="Arial"/>
                <w:b/>
                <w:bCs/>
                <w:color w:val="000000"/>
                <w:sz w:val="22"/>
                <w:szCs w:val="22"/>
              </w:rPr>
              <w:t>Red</w:t>
            </w:r>
          </w:p>
        </w:tc>
        <w:tc>
          <w:tcPr>
            <w:tcW w:w="1644" w:type="dxa"/>
            <w:tcBorders>
              <w:top w:val="nil"/>
              <w:left w:val="nil"/>
              <w:bottom w:val="single" w:sz="12" w:space="0" w:color="auto"/>
              <w:right w:val="single" w:sz="12" w:space="0" w:color="auto"/>
            </w:tcBorders>
            <w:vAlign w:val="center"/>
            <w:hideMark/>
          </w:tcPr>
          <w:p w14:paraId="327269FA"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Min £3B Asset Size</w:t>
            </w:r>
          </w:p>
        </w:tc>
        <w:tc>
          <w:tcPr>
            <w:tcW w:w="1426" w:type="dxa"/>
            <w:tcBorders>
              <w:top w:val="nil"/>
              <w:left w:val="nil"/>
              <w:bottom w:val="single" w:sz="12" w:space="0" w:color="auto"/>
              <w:right w:val="single" w:sz="12" w:space="0" w:color="auto"/>
            </w:tcBorders>
            <w:vAlign w:val="center"/>
            <w:hideMark/>
          </w:tcPr>
          <w:p w14:paraId="6A5863D3"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£3m</w:t>
            </w:r>
          </w:p>
        </w:tc>
        <w:tc>
          <w:tcPr>
            <w:tcW w:w="1191" w:type="dxa"/>
            <w:tcBorders>
              <w:top w:val="nil"/>
              <w:left w:val="nil"/>
              <w:bottom w:val="single" w:sz="12" w:space="0" w:color="auto"/>
              <w:right w:val="single" w:sz="12" w:space="0" w:color="auto"/>
            </w:tcBorders>
            <w:vAlign w:val="center"/>
            <w:hideMark/>
          </w:tcPr>
          <w:p w14:paraId="5BFA84D8"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6 Months</w:t>
            </w:r>
          </w:p>
        </w:tc>
      </w:tr>
      <w:tr w:rsidR="00E3289C" w14:paraId="2C391890" w14:textId="77777777" w:rsidTr="00E3289C">
        <w:trPr>
          <w:trHeight w:val="373"/>
        </w:trPr>
        <w:tc>
          <w:tcPr>
            <w:tcW w:w="3383" w:type="dxa"/>
            <w:tcBorders>
              <w:top w:val="nil"/>
              <w:left w:val="single" w:sz="12" w:space="0" w:color="auto"/>
              <w:bottom w:val="nil"/>
              <w:right w:val="single" w:sz="12" w:space="0" w:color="auto"/>
            </w:tcBorders>
            <w:vAlign w:val="center"/>
            <w:hideMark/>
          </w:tcPr>
          <w:p w14:paraId="5B2BFFA4" w14:textId="77777777" w:rsidR="00E3289C" w:rsidRDefault="00E3289C" w:rsidP="000B19CE">
            <w:pPr>
              <w:keepNext/>
              <w:rPr>
                <w:rFonts w:ascii="Arial" w:hAnsi="Arial" w:cs="Arial"/>
                <w:b/>
                <w:bCs/>
                <w:color w:val="000000"/>
                <w:sz w:val="22"/>
                <w:szCs w:val="22"/>
              </w:rPr>
            </w:pPr>
            <w:r>
              <w:rPr>
                <w:rFonts w:ascii="Arial" w:hAnsi="Arial" w:cs="Arial"/>
                <w:b/>
                <w:bCs/>
                <w:iCs/>
                <w:color w:val="000000"/>
                <w:sz w:val="22"/>
                <w:szCs w:val="22"/>
                <w:lang w:val="en-US"/>
              </w:rPr>
              <w:t>Barclays Bank – Council’s banker</w:t>
            </w:r>
          </w:p>
        </w:tc>
        <w:tc>
          <w:tcPr>
            <w:tcW w:w="1787" w:type="dxa"/>
            <w:tcBorders>
              <w:top w:val="nil"/>
              <w:left w:val="nil"/>
              <w:bottom w:val="nil"/>
              <w:right w:val="single" w:sz="12" w:space="0" w:color="auto"/>
            </w:tcBorders>
            <w:vAlign w:val="center"/>
            <w:hideMark/>
          </w:tcPr>
          <w:p w14:paraId="41FB22DA" w14:textId="77777777" w:rsidR="00E3289C" w:rsidRDefault="00E3289C" w:rsidP="000B19CE">
            <w:pPr>
              <w:keepNext/>
              <w:jc w:val="center"/>
              <w:rPr>
                <w:rFonts w:ascii="Arial" w:hAnsi="Arial" w:cs="Arial"/>
                <w:b/>
                <w:bCs/>
                <w:color w:val="000000"/>
                <w:sz w:val="22"/>
                <w:szCs w:val="22"/>
              </w:rPr>
            </w:pPr>
          </w:p>
          <w:p w14:paraId="5A74CABA" w14:textId="77777777" w:rsidR="00E3289C" w:rsidRDefault="00E3289C" w:rsidP="000B19CE">
            <w:pPr>
              <w:keepNext/>
              <w:jc w:val="center"/>
              <w:rPr>
                <w:rFonts w:ascii="Arial" w:hAnsi="Arial" w:cs="Arial"/>
                <w:b/>
                <w:bCs/>
                <w:color w:val="000000"/>
                <w:sz w:val="22"/>
                <w:szCs w:val="22"/>
              </w:rPr>
            </w:pPr>
          </w:p>
          <w:p w14:paraId="4D9230FD" w14:textId="77777777" w:rsidR="00E3289C" w:rsidRDefault="00E3289C" w:rsidP="000B19CE">
            <w:pPr>
              <w:keepNext/>
              <w:rPr>
                <w:rFonts w:ascii="Arial" w:hAnsi="Arial" w:cs="Arial"/>
                <w:b/>
                <w:bCs/>
                <w:color w:val="000000"/>
                <w:sz w:val="22"/>
                <w:szCs w:val="22"/>
              </w:rPr>
            </w:pPr>
            <w:r>
              <w:rPr>
                <w:rFonts w:ascii="Arial" w:hAnsi="Arial" w:cs="Arial"/>
                <w:b/>
                <w:bCs/>
                <w:color w:val="000000"/>
                <w:sz w:val="22"/>
                <w:szCs w:val="22"/>
              </w:rPr>
              <w:t>N/A</w:t>
            </w:r>
          </w:p>
        </w:tc>
        <w:tc>
          <w:tcPr>
            <w:tcW w:w="1644" w:type="dxa"/>
            <w:vMerge w:val="restart"/>
            <w:tcBorders>
              <w:top w:val="nil"/>
              <w:left w:val="single" w:sz="12" w:space="0" w:color="auto"/>
              <w:bottom w:val="single" w:sz="12" w:space="0" w:color="000000"/>
              <w:right w:val="single" w:sz="12" w:space="0" w:color="auto"/>
            </w:tcBorders>
            <w:vAlign w:val="center"/>
            <w:hideMark/>
          </w:tcPr>
          <w:p w14:paraId="7C6E3791"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N/A</w:t>
            </w:r>
          </w:p>
        </w:tc>
        <w:tc>
          <w:tcPr>
            <w:tcW w:w="1426" w:type="dxa"/>
            <w:vMerge w:val="restart"/>
            <w:tcBorders>
              <w:top w:val="nil"/>
              <w:left w:val="single" w:sz="12" w:space="0" w:color="auto"/>
              <w:bottom w:val="single" w:sz="12" w:space="0" w:color="000000"/>
              <w:right w:val="single" w:sz="12" w:space="0" w:color="auto"/>
            </w:tcBorders>
            <w:vAlign w:val="center"/>
            <w:hideMark/>
          </w:tcPr>
          <w:p w14:paraId="2B56B7D4"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 xml:space="preserve">£5m </w:t>
            </w:r>
          </w:p>
        </w:tc>
        <w:tc>
          <w:tcPr>
            <w:tcW w:w="1191" w:type="dxa"/>
            <w:vMerge w:val="restart"/>
            <w:tcBorders>
              <w:top w:val="nil"/>
              <w:left w:val="single" w:sz="12" w:space="0" w:color="auto"/>
              <w:bottom w:val="single" w:sz="12" w:space="0" w:color="000000"/>
              <w:right w:val="single" w:sz="12" w:space="0" w:color="auto"/>
            </w:tcBorders>
            <w:vAlign w:val="center"/>
            <w:hideMark/>
          </w:tcPr>
          <w:p w14:paraId="38D70720"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Daily limit</w:t>
            </w:r>
          </w:p>
        </w:tc>
      </w:tr>
      <w:tr w:rsidR="00E3289C" w14:paraId="17C102AC" w14:textId="77777777" w:rsidTr="00E3289C">
        <w:trPr>
          <w:trHeight w:val="300"/>
        </w:trPr>
        <w:tc>
          <w:tcPr>
            <w:tcW w:w="3383" w:type="dxa"/>
            <w:tcBorders>
              <w:top w:val="nil"/>
              <w:left w:val="single" w:sz="12" w:space="0" w:color="auto"/>
              <w:bottom w:val="single" w:sz="12" w:space="0" w:color="auto"/>
              <w:right w:val="single" w:sz="12" w:space="0" w:color="auto"/>
            </w:tcBorders>
            <w:vAlign w:val="center"/>
            <w:hideMark/>
          </w:tcPr>
          <w:p w14:paraId="25702029" w14:textId="77777777" w:rsidR="00E3289C" w:rsidRDefault="00E3289C" w:rsidP="000B19CE">
            <w:pPr>
              <w:keepNext/>
              <w:rPr>
                <w:rFonts w:ascii="Arial" w:hAnsi="Arial" w:cs="Arial"/>
                <w:b/>
                <w:bCs/>
                <w:color w:val="000000"/>
                <w:sz w:val="18"/>
                <w:szCs w:val="18"/>
              </w:rPr>
            </w:pPr>
            <w:r>
              <w:rPr>
                <w:rFonts w:ascii="Arial" w:hAnsi="Arial" w:cs="Arial"/>
                <w:b/>
                <w:bCs/>
                <w:iCs/>
                <w:color w:val="000000"/>
                <w:sz w:val="18"/>
                <w:szCs w:val="18"/>
                <w:lang w:val="en-US"/>
              </w:rPr>
              <w:t>(in addition to</w:t>
            </w:r>
            <w:r>
              <w:rPr>
                <w:rFonts w:ascii="Arial" w:hAnsi="Arial" w:cs="Arial"/>
                <w:b/>
                <w:bCs/>
                <w:sz w:val="18"/>
                <w:szCs w:val="18"/>
                <w:lang w:val="en-US"/>
              </w:rPr>
              <w:t xml:space="preserve"> </w:t>
            </w:r>
            <w:r>
              <w:rPr>
                <w:rFonts w:ascii="Arial" w:hAnsi="Arial" w:cs="Arial"/>
                <w:b/>
                <w:bCs/>
                <w:color w:val="000000"/>
                <w:sz w:val="18"/>
                <w:szCs w:val="18"/>
                <w:lang w:val="en-US"/>
              </w:rPr>
              <w:t xml:space="preserve">Higher Quality Rated Bank limit above) </w:t>
            </w:r>
          </w:p>
        </w:tc>
        <w:tc>
          <w:tcPr>
            <w:tcW w:w="1787" w:type="dxa"/>
            <w:tcBorders>
              <w:top w:val="nil"/>
              <w:left w:val="nil"/>
              <w:bottom w:val="single" w:sz="12" w:space="0" w:color="auto"/>
              <w:right w:val="single" w:sz="12" w:space="0" w:color="auto"/>
            </w:tcBorders>
            <w:vAlign w:val="center"/>
            <w:hideMark/>
          </w:tcPr>
          <w:p w14:paraId="598E822F" w14:textId="77777777" w:rsidR="00E3289C" w:rsidRDefault="00E3289C" w:rsidP="000B19CE">
            <w:pPr>
              <w:keepNext/>
              <w:jc w:val="center"/>
              <w:rPr>
                <w:rFonts w:ascii="Arial" w:hAnsi="Arial" w:cs="Arial"/>
                <w:b/>
                <w:bCs/>
                <w:color w:val="000000"/>
                <w:sz w:val="18"/>
                <w:szCs w:val="18"/>
              </w:rPr>
            </w:pPr>
            <w:r>
              <w:rPr>
                <w:rFonts w:ascii="Arial" w:hAnsi="Arial" w:cs="Arial"/>
                <w:b/>
                <w:bCs/>
                <w:color w:val="000000"/>
                <w:sz w:val="18"/>
                <w:szCs w:val="18"/>
              </w:rPr>
              <w:t> </w:t>
            </w:r>
          </w:p>
        </w:tc>
        <w:tc>
          <w:tcPr>
            <w:tcW w:w="1644" w:type="dxa"/>
            <w:vMerge/>
            <w:tcBorders>
              <w:top w:val="nil"/>
              <w:left w:val="single" w:sz="12" w:space="0" w:color="auto"/>
              <w:bottom w:val="single" w:sz="12" w:space="0" w:color="000000"/>
              <w:right w:val="single" w:sz="12" w:space="0" w:color="auto"/>
            </w:tcBorders>
            <w:vAlign w:val="center"/>
            <w:hideMark/>
          </w:tcPr>
          <w:p w14:paraId="4B25353E" w14:textId="77777777" w:rsidR="00E3289C" w:rsidRDefault="00E3289C" w:rsidP="000B19CE">
            <w:pPr>
              <w:keepNext/>
              <w:rPr>
                <w:rFonts w:ascii="Arial" w:hAnsi="Arial" w:cs="Arial"/>
                <w:b/>
                <w:bCs/>
                <w:color w:val="000000"/>
                <w:sz w:val="22"/>
                <w:szCs w:val="22"/>
              </w:rPr>
            </w:pPr>
          </w:p>
        </w:tc>
        <w:tc>
          <w:tcPr>
            <w:tcW w:w="1426" w:type="dxa"/>
            <w:vMerge/>
            <w:tcBorders>
              <w:top w:val="nil"/>
              <w:left w:val="single" w:sz="12" w:space="0" w:color="auto"/>
              <w:bottom w:val="single" w:sz="12" w:space="0" w:color="000000"/>
              <w:right w:val="single" w:sz="12" w:space="0" w:color="auto"/>
            </w:tcBorders>
            <w:vAlign w:val="center"/>
            <w:hideMark/>
          </w:tcPr>
          <w:p w14:paraId="6D786223" w14:textId="77777777" w:rsidR="00E3289C" w:rsidRDefault="00E3289C" w:rsidP="000B19CE">
            <w:pPr>
              <w:keepNext/>
              <w:rPr>
                <w:rFonts w:ascii="Arial" w:hAnsi="Arial" w:cs="Arial"/>
                <w:b/>
                <w:bCs/>
                <w:color w:val="000000"/>
                <w:sz w:val="22"/>
                <w:szCs w:val="22"/>
              </w:rPr>
            </w:pPr>
          </w:p>
        </w:tc>
        <w:tc>
          <w:tcPr>
            <w:tcW w:w="1191" w:type="dxa"/>
            <w:vMerge/>
            <w:tcBorders>
              <w:top w:val="nil"/>
              <w:left w:val="single" w:sz="12" w:space="0" w:color="auto"/>
              <w:bottom w:val="single" w:sz="12" w:space="0" w:color="000000"/>
              <w:right w:val="single" w:sz="12" w:space="0" w:color="auto"/>
            </w:tcBorders>
            <w:vAlign w:val="center"/>
            <w:hideMark/>
          </w:tcPr>
          <w:p w14:paraId="3E59D805" w14:textId="77777777" w:rsidR="00E3289C" w:rsidRDefault="00E3289C" w:rsidP="000B19CE">
            <w:pPr>
              <w:keepNext/>
              <w:rPr>
                <w:rFonts w:ascii="Arial" w:hAnsi="Arial" w:cs="Arial"/>
                <w:b/>
                <w:bCs/>
                <w:color w:val="000000"/>
                <w:sz w:val="22"/>
                <w:szCs w:val="22"/>
              </w:rPr>
            </w:pPr>
          </w:p>
        </w:tc>
      </w:tr>
      <w:tr w:rsidR="00E3289C" w14:paraId="401B02A2" w14:textId="77777777" w:rsidTr="00E3289C">
        <w:trPr>
          <w:trHeight w:val="564"/>
        </w:trPr>
        <w:tc>
          <w:tcPr>
            <w:tcW w:w="3383" w:type="dxa"/>
            <w:tcBorders>
              <w:top w:val="nil"/>
              <w:left w:val="single" w:sz="12" w:space="0" w:color="auto"/>
              <w:bottom w:val="single" w:sz="12" w:space="0" w:color="auto"/>
              <w:right w:val="single" w:sz="12" w:space="0" w:color="auto"/>
            </w:tcBorders>
            <w:vAlign w:val="center"/>
            <w:hideMark/>
          </w:tcPr>
          <w:p w14:paraId="62904591" w14:textId="77777777" w:rsidR="00E3289C" w:rsidRDefault="00E3289C" w:rsidP="000B19CE">
            <w:pPr>
              <w:keepNext/>
              <w:rPr>
                <w:rFonts w:ascii="Arial" w:hAnsi="Arial" w:cs="Arial"/>
                <w:b/>
                <w:bCs/>
                <w:color w:val="000000"/>
                <w:sz w:val="22"/>
                <w:szCs w:val="22"/>
              </w:rPr>
            </w:pPr>
            <w:r>
              <w:rPr>
                <w:rFonts w:ascii="Arial" w:hAnsi="Arial" w:cs="Arial"/>
                <w:b/>
                <w:bCs/>
                <w:iCs/>
                <w:color w:val="000000"/>
                <w:sz w:val="22"/>
                <w:szCs w:val="22"/>
                <w:lang w:val="en-US"/>
              </w:rPr>
              <w:t>DMADF</w:t>
            </w:r>
          </w:p>
        </w:tc>
        <w:tc>
          <w:tcPr>
            <w:tcW w:w="1787" w:type="dxa"/>
            <w:tcBorders>
              <w:top w:val="nil"/>
              <w:left w:val="nil"/>
              <w:bottom w:val="single" w:sz="12" w:space="0" w:color="auto"/>
              <w:right w:val="single" w:sz="12" w:space="0" w:color="auto"/>
            </w:tcBorders>
            <w:vAlign w:val="center"/>
            <w:hideMark/>
          </w:tcPr>
          <w:p w14:paraId="53C9B7A6" w14:textId="77777777" w:rsidR="00E3289C" w:rsidRDefault="00E3289C" w:rsidP="000B19CE">
            <w:pPr>
              <w:keepNext/>
              <w:jc w:val="center"/>
              <w:rPr>
                <w:rFonts w:ascii="Arial" w:hAnsi="Arial" w:cs="Arial"/>
                <w:b/>
                <w:bCs/>
                <w:color w:val="000000"/>
                <w:sz w:val="22"/>
                <w:szCs w:val="22"/>
              </w:rPr>
            </w:pPr>
            <w:r>
              <w:rPr>
                <w:rFonts w:ascii="Arial" w:hAnsi="Arial" w:cs="Arial"/>
                <w:b/>
                <w:bCs/>
                <w:color w:val="000000"/>
                <w:sz w:val="22"/>
                <w:szCs w:val="22"/>
              </w:rPr>
              <w:t>UK Sovereign Rating</w:t>
            </w:r>
          </w:p>
        </w:tc>
        <w:tc>
          <w:tcPr>
            <w:tcW w:w="1644" w:type="dxa"/>
            <w:tcBorders>
              <w:top w:val="nil"/>
              <w:left w:val="nil"/>
              <w:bottom w:val="single" w:sz="12" w:space="0" w:color="auto"/>
              <w:right w:val="single" w:sz="12" w:space="0" w:color="auto"/>
            </w:tcBorders>
            <w:vAlign w:val="center"/>
            <w:hideMark/>
          </w:tcPr>
          <w:p w14:paraId="7C972B53"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AAA</w:t>
            </w:r>
          </w:p>
        </w:tc>
        <w:tc>
          <w:tcPr>
            <w:tcW w:w="1426" w:type="dxa"/>
            <w:tcBorders>
              <w:top w:val="nil"/>
              <w:left w:val="nil"/>
              <w:bottom w:val="single" w:sz="12" w:space="0" w:color="auto"/>
              <w:right w:val="single" w:sz="12" w:space="0" w:color="auto"/>
            </w:tcBorders>
            <w:vAlign w:val="center"/>
            <w:hideMark/>
          </w:tcPr>
          <w:p w14:paraId="4E660F0E"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unlimited</w:t>
            </w:r>
          </w:p>
        </w:tc>
        <w:tc>
          <w:tcPr>
            <w:tcW w:w="1191" w:type="dxa"/>
            <w:tcBorders>
              <w:top w:val="nil"/>
              <w:left w:val="nil"/>
              <w:bottom w:val="single" w:sz="12" w:space="0" w:color="auto"/>
              <w:right w:val="single" w:sz="12" w:space="0" w:color="auto"/>
            </w:tcBorders>
            <w:vAlign w:val="center"/>
            <w:hideMark/>
          </w:tcPr>
          <w:p w14:paraId="3C5C6853"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 xml:space="preserve"> 5yrs</w:t>
            </w:r>
          </w:p>
        </w:tc>
      </w:tr>
      <w:tr w:rsidR="00E3289C" w14:paraId="1E6E4A64" w14:textId="77777777" w:rsidTr="000B19CE">
        <w:trPr>
          <w:trHeight w:val="539"/>
        </w:trPr>
        <w:tc>
          <w:tcPr>
            <w:tcW w:w="3383" w:type="dxa"/>
            <w:tcBorders>
              <w:top w:val="nil"/>
              <w:left w:val="single" w:sz="12" w:space="0" w:color="auto"/>
              <w:bottom w:val="single" w:sz="12" w:space="0" w:color="auto"/>
              <w:right w:val="single" w:sz="12" w:space="0" w:color="auto"/>
            </w:tcBorders>
            <w:vAlign w:val="center"/>
            <w:hideMark/>
          </w:tcPr>
          <w:p w14:paraId="6740C974" w14:textId="77777777" w:rsidR="00E3289C" w:rsidRDefault="00E3289C" w:rsidP="000B19CE">
            <w:pPr>
              <w:keepNext/>
              <w:rPr>
                <w:rFonts w:ascii="Arial" w:hAnsi="Arial" w:cs="Arial"/>
                <w:b/>
                <w:bCs/>
                <w:color w:val="000000"/>
                <w:sz w:val="22"/>
                <w:szCs w:val="22"/>
              </w:rPr>
            </w:pPr>
            <w:r>
              <w:rPr>
                <w:rFonts w:ascii="Arial" w:hAnsi="Arial" w:cs="Arial"/>
                <w:b/>
                <w:bCs/>
                <w:iCs/>
                <w:color w:val="000000"/>
                <w:sz w:val="22"/>
                <w:szCs w:val="22"/>
                <w:lang w:val="en-US"/>
              </w:rPr>
              <w:t>Local authorities</w:t>
            </w:r>
          </w:p>
        </w:tc>
        <w:tc>
          <w:tcPr>
            <w:tcW w:w="1787" w:type="dxa"/>
            <w:tcBorders>
              <w:top w:val="nil"/>
              <w:left w:val="nil"/>
              <w:bottom w:val="single" w:sz="12" w:space="0" w:color="auto"/>
              <w:right w:val="single" w:sz="12" w:space="0" w:color="auto"/>
            </w:tcBorders>
            <w:vAlign w:val="center"/>
            <w:hideMark/>
          </w:tcPr>
          <w:p w14:paraId="3B7D67B8" w14:textId="77777777" w:rsidR="00E3289C" w:rsidRDefault="00E3289C" w:rsidP="000B19CE">
            <w:pPr>
              <w:keepNext/>
              <w:jc w:val="center"/>
              <w:rPr>
                <w:rFonts w:ascii="Arial" w:hAnsi="Arial" w:cs="Arial"/>
                <w:b/>
                <w:bCs/>
                <w:color w:val="000000"/>
                <w:sz w:val="22"/>
                <w:szCs w:val="22"/>
              </w:rPr>
            </w:pPr>
            <w:r>
              <w:rPr>
                <w:rFonts w:ascii="Arial" w:hAnsi="Arial" w:cs="Arial"/>
                <w:b/>
                <w:bCs/>
                <w:color w:val="000000"/>
                <w:sz w:val="22"/>
                <w:szCs w:val="22"/>
              </w:rPr>
              <w:t>N/A</w:t>
            </w:r>
          </w:p>
        </w:tc>
        <w:tc>
          <w:tcPr>
            <w:tcW w:w="1644" w:type="dxa"/>
            <w:tcBorders>
              <w:top w:val="nil"/>
              <w:left w:val="nil"/>
              <w:bottom w:val="single" w:sz="12" w:space="0" w:color="auto"/>
              <w:right w:val="single" w:sz="12" w:space="0" w:color="auto"/>
            </w:tcBorders>
            <w:vAlign w:val="center"/>
            <w:hideMark/>
          </w:tcPr>
          <w:p w14:paraId="5500CBFE"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N/A</w:t>
            </w:r>
          </w:p>
        </w:tc>
        <w:tc>
          <w:tcPr>
            <w:tcW w:w="1426" w:type="dxa"/>
            <w:tcBorders>
              <w:top w:val="nil"/>
              <w:left w:val="nil"/>
              <w:bottom w:val="single" w:sz="12" w:space="0" w:color="auto"/>
              <w:right w:val="single" w:sz="12" w:space="0" w:color="auto"/>
            </w:tcBorders>
            <w:vAlign w:val="center"/>
            <w:hideMark/>
          </w:tcPr>
          <w:p w14:paraId="1A9EBA6C"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£10m</w:t>
            </w:r>
          </w:p>
        </w:tc>
        <w:tc>
          <w:tcPr>
            <w:tcW w:w="1191" w:type="dxa"/>
            <w:tcBorders>
              <w:top w:val="nil"/>
              <w:left w:val="nil"/>
              <w:bottom w:val="single" w:sz="12" w:space="0" w:color="auto"/>
              <w:right w:val="single" w:sz="12" w:space="0" w:color="auto"/>
            </w:tcBorders>
            <w:vAlign w:val="center"/>
            <w:hideMark/>
          </w:tcPr>
          <w:p w14:paraId="56629155"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5yrs</w:t>
            </w:r>
          </w:p>
        </w:tc>
      </w:tr>
      <w:tr w:rsidR="00E3289C" w14:paraId="546BF2F6" w14:textId="77777777" w:rsidTr="000B19CE">
        <w:trPr>
          <w:trHeight w:val="533"/>
        </w:trPr>
        <w:tc>
          <w:tcPr>
            <w:tcW w:w="3383" w:type="dxa"/>
            <w:tcBorders>
              <w:top w:val="nil"/>
              <w:left w:val="single" w:sz="12" w:space="0" w:color="auto"/>
              <w:bottom w:val="single" w:sz="12" w:space="0" w:color="auto"/>
              <w:right w:val="single" w:sz="12" w:space="0" w:color="auto"/>
            </w:tcBorders>
            <w:vAlign w:val="center"/>
            <w:hideMark/>
          </w:tcPr>
          <w:p w14:paraId="08289002" w14:textId="77777777" w:rsidR="00E3289C" w:rsidRDefault="00E3289C" w:rsidP="000B19CE">
            <w:pPr>
              <w:keepNext/>
              <w:rPr>
                <w:rFonts w:ascii="Arial" w:hAnsi="Arial" w:cs="Arial"/>
                <w:b/>
                <w:bCs/>
                <w:color w:val="000000"/>
                <w:sz w:val="22"/>
                <w:szCs w:val="22"/>
              </w:rPr>
            </w:pPr>
            <w:r>
              <w:rPr>
                <w:rFonts w:ascii="Arial" w:hAnsi="Arial" w:cs="Arial"/>
                <w:b/>
                <w:bCs/>
                <w:iCs/>
                <w:color w:val="000000"/>
                <w:sz w:val="22"/>
                <w:szCs w:val="22"/>
                <w:lang w:val="en-US"/>
              </w:rPr>
              <w:t xml:space="preserve">Money market funds </w:t>
            </w:r>
          </w:p>
        </w:tc>
        <w:tc>
          <w:tcPr>
            <w:tcW w:w="1787" w:type="dxa"/>
            <w:tcBorders>
              <w:top w:val="nil"/>
              <w:left w:val="nil"/>
              <w:bottom w:val="single" w:sz="12" w:space="0" w:color="auto"/>
              <w:right w:val="single" w:sz="12" w:space="0" w:color="auto"/>
            </w:tcBorders>
            <w:vAlign w:val="center"/>
            <w:hideMark/>
          </w:tcPr>
          <w:p w14:paraId="1729609D" w14:textId="77777777" w:rsidR="00E3289C" w:rsidRDefault="00E3289C" w:rsidP="000B19CE">
            <w:pPr>
              <w:keepNext/>
              <w:jc w:val="center"/>
              <w:rPr>
                <w:rFonts w:ascii="Arial" w:hAnsi="Arial" w:cs="Arial"/>
                <w:b/>
                <w:bCs/>
                <w:color w:val="000000"/>
                <w:sz w:val="22"/>
                <w:szCs w:val="22"/>
              </w:rPr>
            </w:pPr>
            <w:r>
              <w:rPr>
                <w:rFonts w:ascii="Arial" w:hAnsi="Arial" w:cs="Arial"/>
                <w:b/>
                <w:bCs/>
                <w:color w:val="000000"/>
                <w:sz w:val="22"/>
                <w:szCs w:val="22"/>
              </w:rPr>
              <w:t>N/A</w:t>
            </w:r>
          </w:p>
        </w:tc>
        <w:tc>
          <w:tcPr>
            <w:tcW w:w="1644" w:type="dxa"/>
            <w:tcBorders>
              <w:top w:val="nil"/>
              <w:left w:val="nil"/>
              <w:bottom w:val="single" w:sz="12" w:space="0" w:color="auto"/>
              <w:right w:val="single" w:sz="12" w:space="0" w:color="auto"/>
            </w:tcBorders>
            <w:vAlign w:val="center"/>
            <w:hideMark/>
          </w:tcPr>
          <w:p w14:paraId="296C303E"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AAA</w:t>
            </w:r>
          </w:p>
        </w:tc>
        <w:tc>
          <w:tcPr>
            <w:tcW w:w="1426" w:type="dxa"/>
            <w:tcBorders>
              <w:top w:val="nil"/>
              <w:left w:val="nil"/>
              <w:bottom w:val="single" w:sz="12" w:space="0" w:color="auto"/>
              <w:right w:val="single" w:sz="12" w:space="0" w:color="auto"/>
            </w:tcBorders>
            <w:vAlign w:val="center"/>
            <w:hideMark/>
          </w:tcPr>
          <w:p w14:paraId="36837FC2"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£10m</w:t>
            </w:r>
          </w:p>
        </w:tc>
        <w:tc>
          <w:tcPr>
            <w:tcW w:w="1191" w:type="dxa"/>
            <w:tcBorders>
              <w:top w:val="nil"/>
              <w:left w:val="nil"/>
              <w:bottom w:val="single" w:sz="12" w:space="0" w:color="auto"/>
              <w:right w:val="single" w:sz="12" w:space="0" w:color="auto"/>
            </w:tcBorders>
            <w:vAlign w:val="center"/>
            <w:hideMark/>
          </w:tcPr>
          <w:p w14:paraId="6DC90905"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liquid</w:t>
            </w:r>
          </w:p>
        </w:tc>
      </w:tr>
      <w:tr w:rsidR="00E3289C" w14:paraId="785041C9" w14:textId="77777777" w:rsidTr="00E3289C">
        <w:trPr>
          <w:trHeight w:val="382"/>
        </w:trPr>
        <w:tc>
          <w:tcPr>
            <w:tcW w:w="3383" w:type="dxa"/>
            <w:tcBorders>
              <w:top w:val="nil"/>
              <w:left w:val="single" w:sz="12" w:space="0" w:color="auto"/>
              <w:bottom w:val="single" w:sz="12" w:space="0" w:color="auto"/>
              <w:right w:val="single" w:sz="12" w:space="0" w:color="auto"/>
            </w:tcBorders>
            <w:vAlign w:val="center"/>
            <w:hideMark/>
          </w:tcPr>
          <w:p w14:paraId="4C54A1CE" w14:textId="77777777" w:rsidR="00E3289C" w:rsidRDefault="00E3289C" w:rsidP="000B19CE">
            <w:pPr>
              <w:keepNext/>
              <w:rPr>
                <w:rFonts w:ascii="Arial" w:hAnsi="Arial" w:cs="Arial"/>
                <w:b/>
                <w:bCs/>
                <w:color w:val="000000"/>
                <w:sz w:val="22"/>
                <w:szCs w:val="22"/>
              </w:rPr>
            </w:pPr>
            <w:r>
              <w:rPr>
                <w:rFonts w:ascii="Arial" w:hAnsi="Arial" w:cs="Arial"/>
                <w:b/>
                <w:bCs/>
                <w:iCs/>
                <w:color w:val="000000"/>
                <w:sz w:val="22"/>
                <w:szCs w:val="22"/>
                <w:lang w:val="en-US"/>
              </w:rPr>
              <w:t>Enhanced Money market funds</w:t>
            </w:r>
          </w:p>
        </w:tc>
        <w:tc>
          <w:tcPr>
            <w:tcW w:w="1787" w:type="dxa"/>
            <w:tcBorders>
              <w:top w:val="nil"/>
              <w:left w:val="nil"/>
              <w:bottom w:val="single" w:sz="12" w:space="0" w:color="auto"/>
              <w:right w:val="single" w:sz="12" w:space="0" w:color="auto"/>
            </w:tcBorders>
            <w:vAlign w:val="center"/>
            <w:hideMark/>
          </w:tcPr>
          <w:p w14:paraId="65D03EE4" w14:textId="77777777" w:rsidR="00E3289C" w:rsidRDefault="00E3289C" w:rsidP="000B19CE">
            <w:pPr>
              <w:keepNext/>
              <w:jc w:val="center"/>
              <w:rPr>
                <w:rFonts w:ascii="Arial" w:hAnsi="Arial" w:cs="Arial"/>
                <w:b/>
                <w:bCs/>
                <w:color w:val="000000"/>
                <w:sz w:val="22"/>
                <w:szCs w:val="22"/>
              </w:rPr>
            </w:pPr>
            <w:r>
              <w:rPr>
                <w:rFonts w:ascii="Arial" w:hAnsi="Arial" w:cs="Arial"/>
                <w:b/>
                <w:bCs/>
                <w:color w:val="000000"/>
                <w:sz w:val="22"/>
                <w:szCs w:val="22"/>
              </w:rPr>
              <w:t>N/A</w:t>
            </w:r>
          </w:p>
        </w:tc>
        <w:tc>
          <w:tcPr>
            <w:tcW w:w="1644" w:type="dxa"/>
            <w:tcBorders>
              <w:top w:val="nil"/>
              <w:left w:val="nil"/>
              <w:bottom w:val="single" w:sz="12" w:space="0" w:color="auto"/>
              <w:right w:val="single" w:sz="12" w:space="0" w:color="auto"/>
            </w:tcBorders>
            <w:vAlign w:val="center"/>
            <w:hideMark/>
          </w:tcPr>
          <w:p w14:paraId="01098F9E"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AAA</w:t>
            </w:r>
          </w:p>
        </w:tc>
        <w:tc>
          <w:tcPr>
            <w:tcW w:w="1426" w:type="dxa"/>
            <w:tcBorders>
              <w:top w:val="nil"/>
              <w:left w:val="nil"/>
              <w:bottom w:val="single" w:sz="12" w:space="0" w:color="auto"/>
              <w:right w:val="single" w:sz="12" w:space="0" w:color="auto"/>
            </w:tcBorders>
            <w:vAlign w:val="center"/>
            <w:hideMark/>
          </w:tcPr>
          <w:p w14:paraId="66D74B41"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£8m</w:t>
            </w:r>
          </w:p>
        </w:tc>
        <w:tc>
          <w:tcPr>
            <w:tcW w:w="1191" w:type="dxa"/>
            <w:tcBorders>
              <w:top w:val="nil"/>
              <w:left w:val="nil"/>
              <w:bottom w:val="single" w:sz="12" w:space="0" w:color="auto"/>
              <w:right w:val="single" w:sz="12" w:space="0" w:color="auto"/>
            </w:tcBorders>
            <w:vAlign w:val="center"/>
            <w:hideMark/>
          </w:tcPr>
          <w:p w14:paraId="6C6EF8EB" w14:textId="77777777" w:rsidR="00E3289C" w:rsidRDefault="00E3289C" w:rsidP="000B19CE">
            <w:pPr>
              <w:keepNext/>
              <w:jc w:val="center"/>
              <w:rPr>
                <w:rFonts w:ascii="Arial" w:hAnsi="Arial" w:cs="Arial"/>
                <w:b/>
                <w:bCs/>
                <w:color w:val="000000"/>
                <w:sz w:val="22"/>
                <w:szCs w:val="22"/>
              </w:rPr>
            </w:pPr>
            <w:r>
              <w:rPr>
                <w:rFonts w:ascii="Arial" w:hAnsi="Arial" w:cs="Arial"/>
                <w:b/>
                <w:bCs/>
                <w:iCs/>
                <w:color w:val="000000"/>
                <w:sz w:val="22"/>
                <w:szCs w:val="22"/>
                <w:lang w:val="en-US"/>
              </w:rPr>
              <w:t>liquid</w:t>
            </w:r>
          </w:p>
        </w:tc>
      </w:tr>
    </w:tbl>
    <w:p w14:paraId="39F8A3F2" w14:textId="77777777" w:rsidR="00E3289C" w:rsidRPr="00F479C2" w:rsidRDefault="00E3289C" w:rsidP="00E3289C">
      <w:pPr>
        <w:widowControl w:val="0"/>
        <w:rPr>
          <w:rFonts w:ascii="Arial" w:hAnsi="Arial" w:cs="Arial"/>
        </w:rPr>
      </w:pPr>
    </w:p>
    <w:p w14:paraId="778245EC" w14:textId="77777777" w:rsidR="00E3289C" w:rsidRPr="00F479C2" w:rsidRDefault="00E3289C" w:rsidP="00E3289C">
      <w:pPr>
        <w:widowControl w:val="0"/>
        <w:tabs>
          <w:tab w:val="left" w:pos="-142"/>
        </w:tabs>
        <w:jc w:val="both"/>
        <w:rPr>
          <w:rFonts w:ascii="Arial" w:hAnsi="Arial" w:cs="Arial"/>
        </w:rPr>
      </w:pPr>
    </w:p>
    <w:p w14:paraId="5BC158E8" w14:textId="77777777" w:rsidR="00E3289C" w:rsidRPr="00F479C2" w:rsidRDefault="00E3289C" w:rsidP="000B19CE">
      <w:pPr>
        <w:pStyle w:val="ListParagraph"/>
        <w:numPr>
          <w:ilvl w:val="2"/>
          <w:numId w:val="19"/>
        </w:numPr>
        <w:ind w:left="709" w:hanging="709"/>
        <w:jc w:val="both"/>
        <w:rPr>
          <w:rFonts w:ascii="Arial" w:hAnsi="Arial" w:cs="Arial"/>
        </w:rPr>
      </w:pPr>
      <w:r w:rsidRPr="00F479C2">
        <w:rPr>
          <w:rFonts w:ascii="Arial" w:hAnsi="Arial" w:cs="Arial"/>
        </w:rPr>
        <w:t xml:space="preserve">The council will endeavour to diversify its investment portfolio by country, group and institution. However, the Council may decide to limit counterparty diversification by investing in Countries such as the UK, Canada and Australia where there is greater understanding about economy and Government intention such as desire to support institutions from defaulting. </w:t>
      </w:r>
    </w:p>
    <w:p w14:paraId="237CA4F5" w14:textId="77777777" w:rsidR="00E3289C" w:rsidRPr="00F479C2" w:rsidRDefault="00E3289C" w:rsidP="00E3289C">
      <w:pPr>
        <w:widowControl w:val="0"/>
        <w:tabs>
          <w:tab w:val="left" w:pos="-142"/>
        </w:tabs>
        <w:jc w:val="both"/>
        <w:rPr>
          <w:rFonts w:ascii="Arial" w:hAnsi="Arial" w:cs="Arial"/>
        </w:rPr>
      </w:pPr>
    </w:p>
    <w:p w14:paraId="7FD11B53" w14:textId="71CD86DE" w:rsidR="00E3289C" w:rsidRPr="00F479C2" w:rsidRDefault="00E3289C" w:rsidP="00F30B09">
      <w:pPr>
        <w:keepNext/>
        <w:widowControl w:val="0"/>
        <w:numPr>
          <w:ilvl w:val="1"/>
          <w:numId w:val="19"/>
        </w:numPr>
        <w:ind w:left="709" w:hanging="709"/>
        <w:jc w:val="both"/>
        <w:rPr>
          <w:rFonts w:ascii="Arial" w:hAnsi="Arial" w:cs="Arial"/>
          <w:b/>
        </w:rPr>
      </w:pPr>
      <w:r w:rsidRPr="00F479C2">
        <w:rPr>
          <w:rFonts w:ascii="Arial" w:hAnsi="Arial" w:cs="Arial"/>
          <w:b/>
        </w:rPr>
        <w:lastRenderedPageBreak/>
        <w:t>Sovereign limits</w:t>
      </w:r>
    </w:p>
    <w:p w14:paraId="14123491" w14:textId="77777777" w:rsidR="00E3289C" w:rsidRPr="00F479C2" w:rsidRDefault="00E3289C" w:rsidP="00F30B09">
      <w:pPr>
        <w:keepNext/>
        <w:widowControl w:val="0"/>
        <w:ind w:left="589"/>
        <w:rPr>
          <w:rFonts w:ascii="Arial" w:hAnsi="Arial" w:cs="Arial"/>
        </w:rPr>
      </w:pPr>
    </w:p>
    <w:p w14:paraId="6910238B" w14:textId="77777777" w:rsidR="00F30B09" w:rsidRDefault="00E3289C" w:rsidP="00F30B09">
      <w:pPr>
        <w:pStyle w:val="ListParagraph"/>
        <w:numPr>
          <w:ilvl w:val="2"/>
          <w:numId w:val="19"/>
        </w:numPr>
        <w:ind w:left="709" w:hanging="709"/>
        <w:jc w:val="both"/>
        <w:rPr>
          <w:rFonts w:ascii="Arial" w:hAnsi="Arial" w:cs="Arial"/>
        </w:rPr>
      </w:pPr>
      <w:r w:rsidRPr="00F479C2">
        <w:rPr>
          <w:rFonts w:ascii="Arial" w:hAnsi="Arial" w:cs="Arial"/>
        </w:rPr>
        <w:t>The Council has determined that it will only use approved counterparties from the UK and from countries with a minimum sovereign credit rating of AA- (or equivalent from other agenc</w:t>
      </w:r>
      <w:r w:rsidR="00F30B09">
        <w:rPr>
          <w:rFonts w:ascii="Arial" w:hAnsi="Arial" w:cs="Arial"/>
        </w:rPr>
        <w:t>ies if Fitch does not provide).</w:t>
      </w:r>
    </w:p>
    <w:p w14:paraId="7DE280EC" w14:textId="77777777" w:rsidR="00F30B09" w:rsidRDefault="00F30B09" w:rsidP="00F30B09">
      <w:pPr>
        <w:pStyle w:val="ListParagraph"/>
        <w:ind w:left="709"/>
        <w:jc w:val="both"/>
        <w:rPr>
          <w:rFonts w:ascii="Arial" w:hAnsi="Arial" w:cs="Arial"/>
        </w:rPr>
      </w:pPr>
    </w:p>
    <w:p w14:paraId="0B61DD13" w14:textId="2B307AC4" w:rsidR="00E3289C" w:rsidRPr="00F30B09" w:rsidRDefault="00E3289C" w:rsidP="00F30B09">
      <w:pPr>
        <w:pStyle w:val="ListParagraph"/>
        <w:numPr>
          <w:ilvl w:val="2"/>
          <w:numId w:val="19"/>
        </w:numPr>
        <w:ind w:left="709" w:hanging="709"/>
        <w:jc w:val="both"/>
        <w:rPr>
          <w:rFonts w:ascii="Arial" w:hAnsi="Arial" w:cs="Arial"/>
        </w:rPr>
      </w:pPr>
      <w:r w:rsidRPr="00F30B09">
        <w:rPr>
          <w:rFonts w:ascii="Arial" w:hAnsi="Arial" w:cs="Arial"/>
          <w:b/>
        </w:rPr>
        <w:t>Current Countries Rated AA- and above:</w:t>
      </w:r>
    </w:p>
    <w:p w14:paraId="446AD00F" w14:textId="77777777" w:rsidR="00E3289C" w:rsidRPr="00F479C2" w:rsidRDefault="00E3289C" w:rsidP="00E3289C">
      <w:pPr>
        <w:widowControl w:val="0"/>
        <w:jc w:val="both"/>
        <w:rPr>
          <w:rFonts w:ascii="Arial" w:hAnsi="Arial" w:cs="Arial"/>
        </w:rPr>
      </w:pPr>
    </w:p>
    <w:p w14:paraId="50BCA517" w14:textId="77777777" w:rsidR="00E3289C" w:rsidRPr="00F479C2" w:rsidRDefault="00E3289C" w:rsidP="00E3289C">
      <w:pPr>
        <w:widowControl w:val="0"/>
        <w:spacing w:before="40" w:after="40"/>
        <w:ind w:left="1134"/>
        <w:rPr>
          <w:rFonts w:ascii="Arial" w:hAnsi="Arial" w:cs="Arial"/>
          <w:b/>
        </w:rPr>
      </w:pPr>
      <w:r w:rsidRPr="00F479C2">
        <w:rPr>
          <w:rFonts w:ascii="Arial" w:hAnsi="Arial" w:cs="Arial"/>
          <w:b/>
        </w:rPr>
        <w:t xml:space="preserve">AAA                     </w:t>
      </w:r>
    </w:p>
    <w:p w14:paraId="701654CB" w14:textId="77777777" w:rsidR="00E3289C" w:rsidRPr="00F479C2" w:rsidRDefault="00E3289C" w:rsidP="00D60EFC">
      <w:pPr>
        <w:widowControl w:val="0"/>
        <w:numPr>
          <w:ilvl w:val="0"/>
          <w:numId w:val="4"/>
        </w:numPr>
        <w:tabs>
          <w:tab w:val="clear" w:pos="1077"/>
        </w:tabs>
        <w:spacing w:before="40" w:after="40"/>
        <w:ind w:left="1134" w:hanging="283"/>
        <w:rPr>
          <w:rFonts w:ascii="Arial" w:hAnsi="Arial" w:cs="Arial"/>
        </w:rPr>
      </w:pPr>
      <w:r w:rsidRPr="00F479C2">
        <w:rPr>
          <w:rFonts w:ascii="Arial" w:hAnsi="Arial" w:cs="Arial"/>
        </w:rPr>
        <w:t>Australia</w:t>
      </w:r>
    </w:p>
    <w:p w14:paraId="23BFF01A" w14:textId="77777777" w:rsidR="00E3289C" w:rsidRPr="00F479C2" w:rsidRDefault="00E3289C" w:rsidP="00D60EFC">
      <w:pPr>
        <w:widowControl w:val="0"/>
        <w:numPr>
          <w:ilvl w:val="0"/>
          <w:numId w:val="4"/>
        </w:numPr>
        <w:tabs>
          <w:tab w:val="clear" w:pos="1077"/>
        </w:tabs>
        <w:spacing w:before="40" w:after="40"/>
        <w:ind w:left="1134" w:hanging="283"/>
        <w:rPr>
          <w:rFonts w:ascii="Arial" w:hAnsi="Arial" w:cs="Arial"/>
        </w:rPr>
      </w:pPr>
      <w:r w:rsidRPr="00F479C2">
        <w:rPr>
          <w:rFonts w:ascii="Arial" w:hAnsi="Arial" w:cs="Arial"/>
        </w:rPr>
        <w:t>Denmark</w:t>
      </w:r>
    </w:p>
    <w:p w14:paraId="156ACEC5" w14:textId="77777777" w:rsidR="00E3289C" w:rsidRPr="00F479C2" w:rsidRDefault="00E3289C" w:rsidP="00D60EFC">
      <w:pPr>
        <w:widowControl w:val="0"/>
        <w:numPr>
          <w:ilvl w:val="0"/>
          <w:numId w:val="4"/>
        </w:numPr>
        <w:tabs>
          <w:tab w:val="clear" w:pos="1077"/>
        </w:tabs>
        <w:spacing w:before="40" w:after="40"/>
        <w:ind w:left="1134" w:hanging="283"/>
        <w:rPr>
          <w:rFonts w:ascii="Arial" w:hAnsi="Arial" w:cs="Arial"/>
        </w:rPr>
      </w:pPr>
      <w:r w:rsidRPr="00F479C2">
        <w:rPr>
          <w:rFonts w:ascii="Arial" w:hAnsi="Arial" w:cs="Arial"/>
        </w:rPr>
        <w:t>Germany</w:t>
      </w:r>
    </w:p>
    <w:p w14:paraId="3D8B0D52" w14:textId="77777777" w:rsidR="00E3289C" w:rsidRPr="00F479C2" w:rsidRDefault="00E3289C" w:rsidP="00D60EFC">
      <w:pPr>
        <w:widowControl w:val="0"/>
        <w:numPr>
          <w:ilvl w:val="0"/>
          <w:numId w:val="4"/>
        </w:numPr>
        <w:tabs>
          <w:tab w:val="clear" w:pos="1077"/>
        </w:tabs>
        <w:spacing w:before="40" w:after="40"/>
        <w:ind w:left="1134" w:hanging="283"/>
        <w:rPr>
          <w:rFonts w:ascii="Arial" w:hAnsi="Arial" w:cs="Arial"/>
        </w:rPr>
      </w:pPr>
      <w:r w:rsidRPr="00F479C2">
        <w:rPr>
          <w:rFonts w:ascii="Arial" w:hAnsi="Arial" w:cs="Arial"/>
        </w:rPr>
        <w:t xml:space="preserve">Netherlands </w:t>
      </w:r>
    </w:p>
    <w:p w14:paraId="1A8ACDA5" w14:textId="77777777" w:rsidR="00E3289C" w:rsidRPr="00F479C2" w:rsidRDefault="00E3289C" w:rsidP="00D60EFC">
      <w:pPr>
        <w:widowControl w:val="0"/>
        <w:numPr>
          <w:ilvl w:val="0"/>
          <w:numId w:val="4"/>
        </w:numPr>
        <w:tabs>
          <w:tab w:val="clear" w:pos="1077"/>
        </w:tabs>
        <w:spacing w:before="40" w:after="40"/>
        <w:ind w:left="1134" w:hanging="283"/>
        <w:rPr>
          <w:rFonts w:ascii="Arial" w:hAnsi="Arial" w:cs="Arial"/>
        </w:rPr>
      </w:pPr>
      <w:r w:rsidRPr="00F479C2">
        <w:rPr>
          <w:rFonts w:ascii="Arial" w:hAnsi="Arial" w:cs="Arial"/>
        </w:rPr>
        <w:t>Norway</w:t>
      </w:r>
    </w:p>
    <w:p w14:paraId="59FFF806" w14:textId="77777777" w:rsidR="00E3289C" w:rsidRPr="00F479C2" w:rsidRDefault="00E3289C" w:rsidP="00D60EFC">
      <w:pPr>
        <w:widowControl w:val="0"/>
        <w:numPr>
          <w:ilvl w:val="0"/>
          <w:numId w:val="4"/>
        </w:numPr>
        <w:tabs>
          <w:tab w:val="clear" w:pos="1077"/>
        </w:tabs>
        <w:spacing w:before="40" w:after="40"/>
        <w:ind w:left="1134" w:hanging="283"/>
        <w:rPr>
          <w:rFonts w:ascii="Arial" w:hAnsi="Arial" w:cs="Arial"/>
        </w:rPr>
      </w:pPr>
      <w:r w:rsidRPr="00F479C2">
        <w:rPr>
          <w:rFonts w:ascii="Arial" w:hAnsi="Arial" w:cs="Arial"/>
        </w:rPr>
        <w:t>Singapore</w:t>
      </w:r>
    </w:p>
    <w:p w14:paraId="4BDAEA27" w14:textId="77777777" w:rsidR="00E3289C" w:rsidRPr="00F479C2" w:rsidRDefault="00E3289C" w:rsidP="00D60EFC">
      <w:pPr>
        <w:widowControl w:val="0"/>
        <w:numPr>
          <w:ilvl w:val="0"/>
          <w:numId w:val="4"/>
        </w:numPr>
        <w:tabs>
          <w:tab w:val="clear" w:pos="1077"/>
        </w:tabs>
        <w:spacing w:before="40" w:after="40"/>
        <w:ind w:left="1134" w:hanging="283"/>
        <w:rPr>
          <w:rFonts w:ascii="Arial" w:hAnsi="Arial" w:cs="Arial"/>
        </w:rPr>
      </w:pPr>
      <w:r w:rsidRPr="00F479C2">
        <w:rPr>
          <w:rFonts w:ascii="Arial" w:hAnsi="Arial" w:cs="Arial"/>
        </w:rPr>
        <w:t>Sweden</w:t>
      </w:r>
    </w:p>
    <w:p w14:paraId="2855AA31" w14:textId="77777777" w:rsidR="00E3289C" w:rsidRPr="00F479C2" w:rsidRDefault="00E3289C" w:rsidP="00D60EFC">
      <w:pPr>
        <w:widowControl w:val="0"/>
        <w:numPr>
          <w:ilvl w:val="0"/>
          <w:numId w:val="4"/>
        </w:numPr>
        <w:tabs>
          <w:tab w:val="clear" w:pos="1077"/>
        </w:tabs>
        <w:spacing w:before="40" w:after="40"/>
        <w:ind w:left="1134" w:hanging="283"/>
        <w:rPr>
          <w:rFonts w:ascii="Arial" w:hAnsi="Arial" w:cs="Arial"/>
        </w:rPr>
      </w:pPr>
      <w:r w:rsidRPr="00F479C2">
        <w:rPr>
          <w:rFonts w:ascii="Arial" w:hAnsi="Arial" w:cs="Arial"/>
        </w:rPr>
        <w:t>Switzerland</w:t>
      </w:r>
    </w:p>
    <w:p w14:paraId="796EF356" w14:textId="77777777" w:rsidR="00E3289C" w:rsidRPr="00F479C2" w:rsidRDefault="00E3289C" w:rsidP="00E3289C">
      <w:pPr>
        <w:widowControl w:val="0"/>
        <w:spacing w:before="40" w:after="40"/>
        <w:ind w:left="1134"/>
        <w:rPr>
          <w:rFonts w:ascii="Arial" w:hAnsi="Arial" w:cs="Arial"/>
        </w:rPr>
      </w:pPr>
    </w:p>
    <w:p w14:paraId="307A2CC5" w14:textId="77777777" w:rsidR="00E3289C" w:rsidRPr="00F479C2" w:rsidRDefault="00E3289C" w:rsidP="00E3289C">
      <w:pPr>
        <w:widowControl w:val="0"/>
        <w:spacing w:before="40" w:after="40"/>
        <w:ind w:left="1134"/>
        <w:rPr>
          <w:rFonts w:ascii="Arial" w:hAnsi="Arial" w:cs="Arial"/>
          <w:b/>
        </w:rPr>
      </w:pPr>
      <w:r w:rsidRPr="00F479C2">
        <w:rPr>
          <w:rFonts w:ascii="Arial" w:hAnsi="Arial" w:cs="Arial"/>
          <w:b/>
        </w:rPr>
        <w:t>AA+</w:t>
      </w:r>
    </w:p>
    <w:p w14:paraId="5A14453A" w14:textId="77777777" w:rsidR="00E3289C" w:rsidRPr="009B5C2F" w:rsidRDefault="00E3289C" w:rsidP="00D60EFC">
      <w:pPr>
        <w:widowControl w:val="0"/>
        <w:numPr>
          <w:ilvl w:val="0"/>
          <w:numId w:val="4"/>
        </w:numPr>
        <w:tabs>
          <w:tab w:val="clear" w:pos="1077"/>
        </w:tabs>
        <w:spacing w:before="40" w:after="40"/>
        <w:ind w:left="1134" w:hanging="283"/>
        <w:rPr>
          <w:rFonts w:ascii="Arial" w:hAnsi="Arial" w:cs="Arial"/>
        </w:rPr>
      </w:pPr>
      <w:r w:rsidRPr="00F479C2">
        <w:rPr>
          <w:rFonts w:ascii="Arial" w:hAnsi="Arial" w:cs="Arial"/>
        </w:rPr>
        <w:t xml:space="preserve">Canada   </w:t>
      </w:r>
    </w:p>
    <w:p w14:paraId="56B09CBC" w14:textId="77777777" w:rsidR="00E3289C" w:rsidRPr="00F479C2" w:rsidRDefault="00E3289C" w:rsidP="00D60EFC">
      <w:pPr>
        <w:widowControl w:val="0"/>
        <w:numPr>
          <w:ilvl w:val="0"/>
          <w:numId w:val="4"/>
        </w:numPr>
        <w:tabs>
          <w:tab w:val="clear" w:pos="1077"/>
        </w:tabs>
        <w:spacing w:before="40" w:after="40"/>
        <w:ind w:left="1134" w:hanging="283"/>
        <w:rPr>
          <w:rFonts w:ascii="Arial" w:hAnsi="Arial" w:cs="Arial"/>
        </w:rPr>
      </w:pPr>
      <w:r w:rsidRPr="00F479C2">
        <w:rPr>
          <w:rFonts w:ascii="Arial" w:hAnsi="Arial" w:cs="Arial"/>
        </w:rPr>
        <w:t>U.S.A.</w:t>
      </w:r>
    </w:p>
    <w:p w14:paraId="5079A9E5" w14:textId="4981544E" w:rsidR="00E3289C" w:rsidRPr="00F479C2" w:rsidRDefault="0044279E" w:rsidP="00E3289C">
      <w:pPr>
        <w:widowControl w:val="0"/>
        <w:spacing w:before="40" w:after="40"/>
        <w:ind w:left="1134"/>
        <w:rPr>
          <w:rFonts w:ascii="Arial" w:hAnsi="Arial" w:cs="Arial"/>
        </w:rPr>
      </w:pPr>
      <w:r>
        <w:rPr>
          <w:rFonts w:ascii="Arial" w:hAnsi="Arial" w:cs="Arial"/>
        </w:rPr>
        <w:t>/</w:t>
      </w:r>
    </w:p>
    <w:p w14:paraId="6677889C" w14:textId="77777777" w:rsidR="00E3289C" w:rsidRPr="00F479C2" w:rsidRDefault="00E3289C" w:rsidP="00E3289C">
      <w:pPr>
        <w:widowControl w:val="0"/>
        <w:spacing w:before="40" w:after="40"/>
        <w:ind w:left="1134"/>
        <w:rPr>
          <w:rFonts w:ascii="Arial" w:hAnsi="Arial" w:cs="Arial"/>
          <w:b/>
        </w:rPr>
      </w:pPr>
      <w:r w:rsidRPr="00F479C2">
        <w:rPr>
          <w:rFonts w:ascii="Arial" w:hAnsi="Arial" w:cs="Arial"/>
          <w:b/>
        </w:rPr>
        <w:t>AA</w:t>
      </w:r>
    </w:p>
    <w:p w14:paraId="12C0C162" w14:textId="77777777" w:rsidR="00E3289C" w:rsidRDefault="00E3289C" w:rsidP="00D60EFC">
      <w:pPr>
        <w:widowControl w:val="0"/>
        <w:numPr>
          <w:ilvl w:val="0"/>
          <w:numId w:val="4"/>
        </w:numPr>
        <w:tabs>
          <w:tab w:val="clear" w:pos="1077"/>
        </w:tabs>
        <w:spacing w:before="40" w:after="40"/>
        <w:ind w:left="1134" w:hanging="283"/>
        <w:rPr>
          <w:rFonts w:ascii="Arial" w:hAnsi="Arial" w:cs="Arial"/>
        </w:rPr>
      </w:pPr>
      <w:r w:rsidRPr="00F479C2">
        <w:rPr>
          <w:rFonts w:ascii="Arial" w:hAnsi="Arial" w:cs="Arial"/>
        </w:rPr>
        <w:t>Abu Dhabi (UAE)</w:t>
      </w:r>
    </w:p>
    <w:p w14:paraId="07C797FC" w14:textId="77777777" w:rsidR="00E3289C" w:rsidRDefault="00E3289C" w:rsidP="00D60EFC">
      <w:pPr>
        <w:widowControl w:val="0"/>
        <w:numPr>
          <w:ilvl w:val="0"/>
          <w:numId w:val="4"/>
        </w:numPr>
        <w:tabs>
          <w:tab w:val="clear" w:pos="1077"/>
        </w:tabs>
        <w:spacing w:before="40" w:after="40"/>
        <w:ind w:left="1134" w:hanging="283"/>
        <w:rPr>
          <w:rFonts w:ascii="Arial" w:hAnsi="Arial" w:cs="Arial"/>
        </w:rPr>
      </w:pPr>
      <w:r>
        <w:rPr>
          <w:rFonts w:ascii="Arial" w:hAnsi="Arial" w:cs="Arial"/>
        </w:rPr>
        <w:t>Finland</w:t>
      </w:r>
    </w:p>
    <w:p w14:paraId="0F1E47B0" w14:textId="77777777" w:rsidR="00E3289C" w:rsidRPr="00F479C2" w:rsidRDefault="00E3289C" w:rsidP="00D60EFC">
      <w:pPr>
        <w:widowControl w:val="0"/>
        <w:numPr>
          <w:ilvl w:val="0"/>
          <w:numId w:val="4"/>
        </w:numPr>
        <w:tabs>
          <w:tab w:val="clear" w:pos="1077"/>
        </w:tabs>
        <w:spacing w:before="40" w:after="40"/>
        <w:ind w:left="1134" w:hanging="283"/>
        <w:rPr>
          <w:rFonts w:ascii="Arial" w:hAnsi="Arial" w:cs="Arial"/>
        </w:rPr>
      </w:pPr>
      <w:r>
        <w:rPr>
          <w:rFonts w:ascii="Arial" w:hAnsi="Arial" w:cs="Arial"/>
        </w:rPr>
        <w:t>Qatar</w:t>
      </w:r>
    </w:p>
    <w:p w14:paraId="17B0D3B4" w14:textId="77777777" w:rsidR="00E3289C" w:rsidRPr="00F479C2" w:rsidRDefault="00E3289C" w:rsidP="00E3289C">
      <w:pPr>
        <w:widowControl w:val="0"/>
        <w:spacing w:before="40" w:after="40"/>
        <w:ind w:left="1134"/>
        <w:rPr>
          <w:rFonts w:ascii="Arial" w:hAnsi="Arial" w:cs="Arial"/>
        </w:rPr>
      </w:pPr>
    </w:p>
    <w:p w14:paraId="75B64CAC" w14:textId="77777777" w:rsidR="00E3289C" w:rsidRDefault="00E3289C" w:rsidP="00E3289C">
      <w:pPr>
        <w:widowControl w:val="0"/>
        <w:spacing w:before="40" w:after="40"/>
        <w:ind w:left="1134"/>
        <w:rPr>
          <w:rFonts w:ascii="Arial" w:hAnsi="Arial" w:cs="Arial"/>
          <w:b/>
        </w:rPr>
      </w:pPr>
      <w:r w:rsidRPr="00F479C2">
        <w:rPr>
          <w:rFonts w:ascii="Arial" w:hAnsi="Arial" w:cs="Arial"/>
          <w:b/>
        </w:rPr>
        <w:t>AA</w:t>
      </w:r>
    </w:p>
    <w:p w14:paraId="6DA849BC" w14:textId="77777777" w:rsidR="00E3289C" w:rsidRPr="00F479C2" w:rsidRDefault="00E3289C" w:rsidP="00D60EFC">
      <w:pPr>
        <w:widowControl w:val="0"/>
        <w:numPr>
          <w:ilvl w:val="0"/>
          <w:numId w:val="4"/>
        </w:numPr>
        <w:tabs>
          <w:tab w:val="clear" w:pos="1077"/>
        </w:tabs>
        <w:spacing w:before="40" w:after="40"/>
        <w:ind w:left="1134" w:hanging="283"/>
        <w:rPr>
          <w:rFonts w:ascii="Arial" w:hAnsi="Arial" w:cs="Arial"/>
        </w:rPr>
      </w:pPr>
      <w:r>
        <w:rPr>
          <w:rFonts w:ascii="Arial" w:hAnsi="Arial" w:cs="Arial"/>
        </w:rPr>
        <w:t>U.K.</w:t>
      </w:r>
    </w:p>
    <w:p w14:paraId="6C2196D3" w14:textId="77777777" w:rsidR="00E3289C" w:rsidRPr="009B5C2F" w:rsidRDefault="00E3289C" w:rsidP="00E3289C">
      <w:pPr>
        <w:widowControl w:val="0"/>
        <w:spacing w:before="40" w:after="40"/>
        <w:ind w:left="360"/>
        <w:rPr>
          <w:rFonts w:ascii="Arial" w:hAnsi="Arial" w:cs="Arial"/>
          <w:b/>
        </w:rPr>
      </w:pPr>
    </w:p>
    <w:p w14:paraId="5FA3FB49" w14:textId="77777777" w:rsidR="00E3289C" w:rsidRPr="00073EF9" w:rsidRDefault="00E3289C" w:rsidP="00F30B09">
      <w:pPr>
        <w:pStyle w:val="ListParagraph"/>
        <w:numPr>
          <w:ilvl w:val="2"/>
          <w:numId w:val="19"/>
        </w:numPr>
        <w:ind w:left="709" w:hanging="709"/>
        <w:jc w:val="both"/>
        <w:rPr>
          <w:rFonts w:ascii="Arial" w:hAnsi="Arial" w:cs="Arial"/>
        </w:rPr>
      </w:pPr>
      <w:r w:rsidRPr="00073EF9">
        <w:rPr>
          <w:rFonts w:ascii="Arial" w:hAnsi="Arial" w:cs="Arial"/>
        </w:rPr>
        <w:t>No more than 30% of the total portfolio is to be invested in any one country, except the UK.</w:t>
      </w:r>
    </w:p>
    <w:p w14:paraId="30EC093F" w14:textId="77777777" w:rsidR="00E3289C" w:rsidRPr="00F479C2" w:rsidRDefault="00E3289C" w:rsidP="00E3289C">
      <w:pPr>
        <w:widowControl w:val="0"/>
        <w:tabs>
          <w:tab w:val="left" w:pos="-142"/>
        </w:tabs>
        <w:rPr>
          <w:rFonts w:ascii="Arial" w:hAnsi="Arial" w:cs="Arial"/>
        </w:rPr>
      </w:pPr>
    </w:p>
    <w:p w14:paraId="6A2B74AD" w14:textId="77777777" w:rsidR="00E3289C" w:rsidRPr="00F479C2" w:rsidRDefault="00E3289C" w:rsidP="00F30B09">
      <w:pPr>
        <w:keepNext/>
        <w:widowControl w:val="0"/>
        <w:numPr>
          <w:ilvl w:val="1"/>
          <w:numId w:val="19"/>
        </w:numPr>
        <w:ind w:left="709" w:hanging="709"/>
        <w:jc w:val="both"/>
        <w:rPr>
          <w:rFonts w:ascii="Arial" w:hAnsi="Arial" w:cs="Arial"/>
          <w:b/>
        </w:rPr>
      </w:pPr>
      <w:r w:rsidRPr="00F479C2">
        <w:rPr>
          <w:rFonts w:ascii="Arial" w:hAnsi="Arial" w:cs="Arial"/>
          <w:b/>
        </w:rPr>
        <w:t>Money Market Funds (MMF)</w:t>
      </w:r>
    </w:p>
    <w:p w14:paraId="2027F2EE" w14:textId="77777777" w:rsidR="00E3289C" w:rsidRPr="00F479C2" w:rsidRDefault="00E3289C" w:rsidP="00E3289C">
      <w:pPr>
        <w:widowControl w:val="0"/>
        <w:rPr>
          <w:rFonts w:ascii="Arial" w:hAnsi="Arial" w:cs="Arial"/>
          <w:b/>
        </w:rPr>
      </w:pPr>
    </w:p>
    <w:p w14:paraId="379F6562" w14:textId="479F3E4F" w:rsidR="00E3289C" w:rsidRPr="0099738F" w:rsidRDefault="00E3289C" w:rsidP="00F30B09">
      <w:pPr>
        <w:pStyle w:val="ListParagraph"/>
        <w:numPr>
          <w:ilvl w:val="2"/>
          <w:numId w:val="19"/>
        </w:numPr>
        <w:ind w:left="709" w:hanging="709"/>
        <w:jc w:val="both"/>
        <w:rPr>
          <w:rFonts w:ascii="Arial" w:hAnsi="Arial" w:cs="Arial"/>
        </w:rPr>
      </w:pPr>
      <w:r w:rsidRPr="0099738F">
        <w:rPr>
          <w:rFonts w:ascii="Arial" w:hAnsi="Arial" w:cs="Arial"/>
        </w:rPr>
        <w:t xml:space="preserve">Money market funds are mutual funds that invest in short-term debt instruments.  They provide the benefits of pooled investment, as investors can participate in a more diverse and high-quality portfolio than they otherwise could individually. Like other mutual funds, each investor who invests in a money market fund is considered a shareholder of the investment pool, a part owner of the fund. Money market funds are actively managed within rigid and transparent guidelines to offer safety of principal, liquidity and competitive sector-related returns. The Council will invest in both Constant Net Value (C-Nav) and Variable Asset value (V-Nav) asset classes. </w:t>
      </w:r>
    </w:p>
    <w:p w14:paraId="79014108" w14:textId="77777777" w:rsidR="00E3289C" w:rsidRPr="0099738F" w:rsidRDefault="00E3289C" w:rsidP="00E3289C">
      <w:pPr>
        <w:widowControl w:val="0"/>
        <w:tabs>
          <w:tab w:val="left" w:pos="-142"/>
        </w:tabs>
        <w:jc w:val="both"/>
        <w:rPr>
          <w:rFonts w:ascii="Arial" w:hAnsi="Arial" w:cs="Arial"/>
        </w:rPr>
      </w:pPr>
    </w:p>
    <w:p w14:paraId="4028C758" w14:textId="77777777" w:rsidR="00E3289C" w:rsidRPr="0099738F" w:rsidRDefault="00E3289C" w:rsidP="00F30B09">
      <w:pPr>
        <w:keepNext/>
        <w:widowControl w:val="0"/>
        <w:numPr>
          <w:ilvl w:val="1"/>
          <w:numId w:val="19"/>
        </w:numPr>
        <w:ind w:left="709" w:hanging="709"/>
        <w:jc w:val="both"/>
        <w:rPr>
          <w:rFonts w:ascii="Arial" w:hAnsi="Arial" w:cs="Arial"/>
          <w:b/>
        </w:rPr>
      </w:pPr>
      <w:r w:rsidRPr="0099738F">
        <w:rPr>
          <w:rFonts w:ascii="Arial" w:hAnsi="Arial" w:cs="Arial"/>
          <w:b/>
        </w:rPr>
        <w:lastRenderedPageBreak/>
        <w:t>Enhanced Money Market Funds</w:t>
      </w:r>
    </w:p>
    <w:p w14:paraId="7774431F" w14:textId="77777777" w:rsidR="00E3289C" w:rsidRPr="00F479C2" w:rsidRDefault="00E3289C" w:rsidP="00F30B09">
      <w:pPr>
        <w:keepNext/>
        <w:widowControl w:val="0"/>
        <w:tabs>
          <w:tab w:val="left" w:pos="-142"/>
        </w:tabs>
        <w:rPr>
          <w:rFonts w:ascii="Arial" w:hAnsi="Arial" w:cs="Arial"/>
        </w:rPr>
      </w:pPr>
    </w:p>
    <w:p w14:paraId="423FF964" w14:textId="77777777" w:rsidR="00E3289C" w:rsidRPr="00F479C2" w:rsidRDefault="00E3289C" w:rsidP="00F30B09">
      <w:pPr>
        <w:pStyle w:val="ListParagraph"/>
        <w:numPr>
          <w:ilvl w:val="2"/>
          <w:numId w:val="19"/>
        </w:numPr>
        <w:ind w:left="709" w:hanging="709"/>
        <w:jc w:val="both"/>
        <w:rPr>
          <w:rFonts w:ascii="Arial" w:hAnsi="Arial" w:cs="Arial"/>
        </w:rPr>
      </w:pPr>
      <w:r w:rsidRPr="00F479C2">
        <w:rPr>
          <w:rFonts w:ascii="Arial" w:hAnsi="Arial" w:cs="Arial"/>
        </w:rPr>
        <w:t xml:space="preserve">These are similar to Money market funds in that they use pooled cash to invest into various products and counterparties. In order to be classified and rated as a MMF the fund is required to adhere to strict rules regarding the investment types and average days until maturity of the portfolio. Enhanced funds can vary but will generally be slightly longer dated which means they lose their MMF categorisation. The rating of the funds can vary as they are not constrained by the MMF classification however the council will only use enhanced money market funds which are AAA rated. Although these funds are highly liquid as they can be redeemed within 2-3 </w:t>
      </w:r>
      <w:proofErr w:type="gramStart"/>
      <w:r w:rsidRPr="00F479C2">
        <w:rPr>
          <w:rFonts w:ascii="Arial" w:hAnsi="Arial" w:cs="Arial"/>
        </w:rPr>
        <w:t>days</w:t>
      </w:r>
      <w:proofErr w:type="gramEnd"/>
      <w:r w:rsidRPr="00F479C2">
        <w:rPr>
          <w:rFonts w:ascii="Arial" w:hAnsi="Arial" w:cs="Arial"/>
        </w:rPr>
        <w:t xml:space="preserve"> they are designed to be invested for 6 to 12 months as there can be some volatility in the asset value and yield. </w:t>
      </w:r>
    </w:p>
    <w:p w14:paraId="2B4F585B" w14:textId="77777777" w:rsidR="00E3289C" w:rsidRPr="00F479C2" w:rsidRDefault="00E3289C" w:rsidP="00E3289C">
      <w:pPr>
        <w:widowControl w:val="0"/>
        <w:tabs>
          <w:tab w:val="left" w:pos="-142"/>
        </w:tabs>
        <w:jc w:val="both"/>
        <w:rPr>
          <w:rFonts w:ascii="Arial" w:hAnsi="Arial" w:cs="Arial"/>
        </w:rPr>
      </w:pPr>
    </w:p>
    <w:p w14:paraId="1DFD6B89" w14:textId="77777777" w:rsidR="00E3289C" w:rsidRPr="00F479C2" w:rsidRDefault="00E3289C" w:rsidP="00F30B09">
      <w:pPr>
        <w:keepNext/>
        <w:widowControl w:val="0"/>
        <w:numPr>
          <w:ilvl w:val="1"/>
          <w:numId w:val="19"/>
        </w:numPr>
        <w:ind w:left="709" w:hanging="709"/>
        <w:jc w:val="both"/>
        <w:rPr>
          <w:rFonts w:ascii="Arial" w:hAnsi="Arial" w:cs="Arial"/>
          <w:b/>
        </w:rPr>
      </w:pPr>
      <w:r w:rsidRPr="00F479C2">
        <w:rPr>
          <w:rFonts w:ascii="Arial" w:hAnsi="Arial" w:cs="Arial"/>
          <w:b/>
        </w:rPr>
        <w:t>Main Bankers - Barclays</w:t>
      </w:r>
    </w:p>
    <w:p w14:paraId="1E131D65" w14:textId="77777777" w:rsidR="00E3289C" w:rsidRPr="00F479C2" w:rsidRDefault="00E3289C" w:rsidP="00E3289C">
      <w:pPr>
        <w:widowControl w:val="0"/>
        <w:rPr>
          <w:rFonts w:ascii="Arial" w:hAnsi="Arial" w:cs="Arial"/>
          <w:b/>
        </w:rPr>
      </w:pPr>
    </w:p>
    <w:p w14:paraId="5E5B6F20" w14:textId="77777777" w:rsidR="00E3289C" w:rsidRPr="00F479C2" w:rsidRDefault="00E3289C" w:rsidP="00F30B09">
      <w:pPr>
        <w:pStyle w:val="ListParagraph"/>
        <w:numPr>
          <w:ilvl w:val="2"/>
          <w:numId w:val="19"/>
        </w:numPr>
        <w:ind w:left="709" w:hanging="709"/>
        <w:jc w:val="both"/>
        <w:rPr>
          <w:rFonts w:ascii="Arial" w:hAnsi="Arial" w:cs="Arial"/>
        </w:rPr>
      </w:pPr>
      <w:r w:rsidRPr="00F479C2">
        <w:rPr>
          <w:rFonts w:ascii="Arial" w:hAnsi="Arial" w:cs="Arial"/>
        </w:rPr>
        <w:t>In addition to the limit set out in the main investment strategy, Barclays as our main banker will be further utilised for liquidity purposes. This will involve having balances of up to £5m held in the council current and business premium account (through the use of the banks overnight sweep system) in addition to being able to hold investments of up to £6m (UK Medium quality rated bank limit) in either fixed term deposits, call accounts or other deposit accounts such as the instant access business premium account.</w:t>
      </w:r>
    </w:p>
    <w:p w14:paraId="74C30ABE" w14:textId="77777777" w:rsidR="00E3289C" w:rsidRPr="00F479C2" w:rsidRDefault="00E3289C" w:rsidP="00E3289C">
      <w:pPr>
        <w:widowControl w:val="0"/>
        <w:tabs>
          <w:tab w:val="left" w:pos="-142"/>
        </w:tabs>
        <w:rPr>
          <w:rFonts w:ascii="Arial" w:hAnsi="Arial" w:cs="Arial"/>
        </w:rPr>
      </w:pPr>
    </w:p>
    <w:p w14:paraId="79801F58" w14:textId="77777777" w:rsidR="00E3289C" w:rsidRPr="00F479C2" w:rsidRDefault="00E3289C" w:rsidP="00F30B09">
      <w:pPr>
        <w:keepNext/>
        <w:widowControl w:val="0"/>
        <w:numPr>
          <w:ilvl w:val="1"/>
          <w:numId w:val="19"/>
        </w:numPr>
        <w:ind w:left="709" w:hanging="709"/>
        <w:jc w:val="both"/>
        <w:rPr>
          <w:rFonts w:ascii="Arial" w:hAnsi="Arial" w:cs="Arial"/>
          <w:b/>
        </w:rPr>
      </w:pPr>
      <w:r w:rsidRPr="00F479C2">
        <w:rPr>
          <w:rFonts w:ascii="Arial" w:hAnsi="Arial" w:cs="Arial"/>
          <w:b/>
        </w:rPr>
        <w:t>Unrated/lower rated Building Societies</w:t>
      </w:r>
    </w:p>
    <w:p w14:paraId="433F6AC7" w14:textId="77777777" w:rsidR="00E3289C" w:rsidRPr="00F479C2" w:rsidRDefault="00E3289C" w:rsidP="00E3289C">
      <w:pPr>
        <w:widowControl w:val="0"/>
        <w:tabs>
          <w:tab w:val="left" w:pos="0"/>
        </w:tabs>
        <w:ind w:left="792"/>
        <w:rPr>
          <w:rFonts w:ascii="Arial" w:hAnsi="Arial" w:cs="Arial"/>
          <w:b/>
        </w:rPr>
      </w:pPr>
    </w:p>
    <w:p w14:paraId="72F03F36" w14:textId="77777777" w:rsidR="00E3289C" w:rsidRPr="00F479C2" w:rsidRDefault="00E3289C" w:rsidP="00F30B09">
      <w:pPr>
        <w:pStyle w:val="ListParagraph"/>
        <w:numPr>
          <w:ilvl w:val="2"/>
          <w:numId w:val="19"/>
        </w:numPr>
        <w:ind w:left="709" w:hanging="709"/>
        <w:jc w:val="both"/>
        <w:rPr>
          <w:rFonts w:ascii="Arial" w:hAnsi="Arial" w:cs="Arial"/>
        </w:rPr>
      </w:pPr>
      <w:r w:rsidRPr="00F479C2">
        <w:rPr>
          <w:rFonts w:ascii="Arial" w:hAnsi="Arial" w:cs="Arial"/>
        </w:rPr>
        <w:t xml:space="preserve">The Audit Committee were delegated authority by Council to consider the use of unrated/lower rated Building Societies following the approval of the TMS for 2017/18. The Audit committee at their meeting 31 July 2017 recommended the inclusion of unrated Building Societies within the TMS provided that they held a minimum asset size of £3Bn. </w:t>
      </w:r>
    </w:p>
    <w:p w14:paraId="05B6028A" w14:textId="77777777" w:rsidR="00E3289C" w:rsidRPr="00F479C2" w:rsidRDefault="00E3289C" w:rsidP="00E3289C">
      <w:pPr>
        <w:rPr>
          <w:rFonts w:ascii="Arial" w:hAnsi="Arial"/>
          <w:b/>
        </w:rPr>
      </w:pPr>
    </w:p>
    <w:p w14:paraId="75D0FBF5" w14:textId="64F48EE6" w:rsidR="00073EF9" w:rsidRDefault="00E3289C" w:rsidP="00F30B09">
      <w:pPr>
        <w:pStyle w:val="ListParagraph"/>
        <w:widowControl w:val="0"/>
        <w:numPr>
          <w:ilvl w:val="0"/>
          <w:numId w:val="19"/>
        </w:numPr>
        <w:ind w:left="709" w:hanging="709"/>
        <w:rPr>
          <w:rFonts w:ascii="Arial" w:hAnsi="Arial" w:cs="Arial"/>
          <w:b/>
          <w:sz w:val="28"/>
          <w:szCs w:val="28"/>
          <w:u w:val="single"/>
        </w:rPr>
      </w:pPr>
      <w:r w:rsidRPr="00C96B91">
        <w:rPr>
          <w:rFonts w:ascii="Arial" w:hAnsi="Arial" w:cs="Arial"/>
          <w:b/>
          <w:sz w:val="28"/>
          <w:szCs w:val="28"/>
          <w:u w:val="single"/>
        </w:rPr>
        <w:t xml:space="preserve">Environmental, Social and Governance (ESG) Considerations </w:t>
      </w:r>
    </w:p>
    <w:p w14:paraId="2769E869" w14:textId="3A4FD62B" w:rsidR="00073EF9" w:rsidRDefault="00073EF9" w:rsidP="00073EF9">
      <w:pPr>
        <w:widowControl w:val="0"/>
        <w:jc w:val="both"/>
        <w:rPr>
          <w:rFonts w:ascii="Arial" w:hAnsi="Arial" w:cs="Arial"/>
          <w:b/>
          <w:sz w:val="28"/>
          <w:szCs w:val="28"/>
          <w:u w:val="single"/>
        </w:rPr>
      </w:pPr>
    </w:p>
    <w:p w14:paraId="62064A5E" w14:textId="5332EF82" w:rsidR="00E3289C" w:rsidRPr="00F479C2" w:rsidRDefault="00E3289C" w:rsidP="00F30B09">
      <w:pPr>
        <w:keepNext/>
        <w:widowControl w:val="0"/>
        <w:numPr>
          <w:ilvl w:val="1"/>
          <w:numId w:val="19"/>
        </w:numPr>
        <w:ind w:left="709" w:hanging="709"/>
        <w:jc w:val="both"/>
        <w:rPr>
          <w:rFonts w:ascii="Arial" w:hAnsi="Arial" w:cs="Arial"/>
        </w:rPr>
      </w:pPr>
      <w:r w:rsidRPr="00F479C2">
        <w:rPr>
          <w:rFonts w:ascii="Arial" w:hAnsi="Arial" w:cs="Arial"/>
        </w:rPr>
        <w:t xml:space="preserve">The revised Treasury Management Code now includes specific reference to </w:t>
      </w:r>
      <w:r w:rsidR="00073EF9">
        <w:rPr>
          <w:rFonts w:ascii="Arial" w:hAnsi="Arial" w:cs="Arial"/>
        </w:rPr>
        <w:t xml:space="preserve">  </w:t>
      </w:r>
      <w:r w:rsidRPr="00F479C2">
        <w:rPr>
          <w:rFonts w:ascii="Arial" w:hAnsi="Arial" w:cs="Arial"/>
        </w:rPr>
        <w:t>ESG considerations relating to credit and counterparty risk management:</w:t>
      </w:r>
    </w:p>
    <w:p w14:paraId="265FD98F" w14:textId="77777777" w:rsidR="00E3289C" w:rsidRPr="00F479C2" w:rsidRDefault="00E3289C" w:rsidP="00F30B09">
      <w:pPr>
        <w:widowControl w:val="0"/>
        <w:ind w:left="709" w:hanging="709"/>
        <w:jc w:val="both"/>
        <w:rPr>
          <w:rFonts w:ascii="Arial" w:hAnsi="Arial" w:cs="Arial"/>
        </w:rPr>
      </w:pPr>
    </w:p>
    <w:p w14:paraId="2A043B4C" w14:textId="77777777" w:rsidR="00073EF9" w:rsidRDefault="00E3289C" w:rsidP="00F30B09">
      <w:pPr>
        <w:widowControl w:val="0"/>
        <w:ind w:left="709"/>
        <w:jc w:val="both"/>
        <w:rPr>
          <w:rFonts w:ascii="Arial" w:hAnsi="Arial" w:cs="Arial"/>
          <w:i/>
        </w:rPr>
      </w:pPr>
      <w:r w:rsidRPr="00F479C2">
        <w:rPr>
          <w:rFonts w:ascii="Arial" w:hAnsi="Arial" w:cs="Arial"/>
          <w:i/>
        </w:rPr>
        <w:t xml:space="preserve">‘…The organisation’s credit and counterparty policies should set out its policy and practices relating to ESG investment considerations. This is a developing area, and it is not implied that the organisation’s ESG policy will include ESG scoring or other real-time ESG criteria at individual investment level…’ </w:t>
      </w:r>
    </w:p>
    <w:p w14:paraId="2B6EA563" w14:textId="77777777" w:rsidR="00073EF9" w:rsidRDefault="00073EF9" w:rsidP="00F30B09">
      <w:pPr>
        <w:widowControl w:val="0"/>
        <w:ind w:left="709" w:hanging="709"/>
        <w:jc w:val="both"/>
        <w:rPr>
          <w:rFonts w:ascii="Arial" w:hAnsi="Arial" w:cs="Arial"/>
          <w:i/>
        </w:rPr>
      </w:pPr>
    </w:p>
    <w:p w14:paraId="2EBCA206" w14:textId="3A94E64F" w:rsidR="00E3289C" w:rsidRPr="00073EF9" w:rsidRDefault="00E3289C" w:rsidP="00F30B09">
      <w:pPr>
        <w:keepNext/>
        <w:widowControl w:val="0"/>
        <w:numPr>
          <w:ilvl w:val="1"/>
          <w:numId w:val="19"/>
        </w:numPr>
        <w:ind w:left="709" w:hanging="709"/>
        <w:jc w:val="both"/>
        <w:rPr>
          <w:rFonts w:ascii="Arial" w:hAnsi="Arial" w:cs="Arial"/>
          <w:i/>
        </w:rPr>
      </w:pPr>
      <w:r w:rsidRPr="00073EF9">
        <w:rPr>
          <w:rFonts w:ascii="Arial" w:hAnsi="Arial" w:cs="Arial"/>
        </w:rPr>
        <w:t xml:space="preserve">CIPFA expect local authorities to consider their own existing overarching policies for ESG issues, such as climate change or sustainability for investment decisions.  As a Public finance framework does not currently exist and quality of data available is not sufficient, a specific ESG criteria has not been provided in this Strategy. </w:t>
      </w:r>
    </w:p>
    <w:p w14:paraId="15A08185" w14:textId="77777777" w:rsidR="00E3289C" w:rsidRDefault="00E3289C" w:rsidP="00F30B09">
      <w:pPr>
        <w:widowControl w:val="0"/>
        <w:ind w:left="709" w:hanging="709"/>
        <w:jc w:val="both"/>
        <w:rPr>
          <w:rFonts w:ascii="Arial" w:hAnsi="Arial" w:cs="Arial"/>
        </w:rPr>
      </w:pPr>
    </w:p>
    <w:p w14:paraId="49958DC7" w14:textId="72EFC279" w:rsidR="00E3289C" w:rsidRDefault="00E3289C" w:rsidP="00F30B09">
      <w:pPr>
        <w:keepNext/>
        <w:widowControl w:val="0"/>
        <w:numPr>
          <w:ilvl w:val="1"/>
          <w:numId w:val="19"/>
        </w:numPr>
        <w:ind w:left="709" w:hanging="709"/>
        <w:jc w:val="both"/>
        <w:rPr>
          <w:rFonts w:ascii="Arial" w:hAnsi="Arial" w:cs="Arial"/>
        </w:rPr>
      </w:pPr>
      <w:r w:rsidRPr="00D60EFC">
        <w:rPr>
          <w:rFonts w:ascii="Arial" w:hAnsi="Arial" w:cs="Arial"/>
        </w:rPr>
        <w:t>T</w:t>
      </w:r>
      <w:r w:rsidRPr="00F23A42">
        <w:rPr>
          <w:rFonts w:ascii="Arial" w:hAnsi="Arial" w:cs="Arial"/>
        </w:rPr>
        <w:t xml:space="preserve">he Council will not knowingly invest directly in businesses whose activities and practices pose a risk of serious harm to individuals or groups, or whose activities are inconsistent with the Council’s mission and values.  This would </w:t>
      </w:r>
      <w:r w:rsidRPr="00F23A42">
        <w:rPr>
          <w:rFonts w:ascii="Arial" w:hAnsi="Arial" w:cs="Arial"/>
        </w:rPr>
        <w:lastRenderedPageBreak/>
        <w:t>include, inter alia, avoiding direct investment in institutions with material links to:</w:t>
      </w:r>
    </w:p>
    <w:p w14:paraId="3248B365" w14:textId="77777777" w:rsidR="00E3289C" w:rsidRPr="00F23A42" w:rsidRDefault="00E3289C" w:rsidP="00F30B09">
      <w:pPr>
        <w:numPr>
          <w:ilvl w:val="1"/>
          <w:numId w:val="36"/>
        </w:numPr>
        <w:spacing w:before="120"/>
        <w:ind w:left="1135" w:hanging="284"/>
        <w:jc w:val="both"/>
        <w:rPr>
          <w:rFonts w:ascii="Arial" w:hAnsi="Arial" w:cs="Arial"/>
        </w:rPr>
      </w:pPr>
      <w:r w:rsidRPr="00F23A42">
        <w:rPr>
          <w:rFonts w:ascii="Arial" w:hAnsi="Arial" w:cs="Arial"/>
        </w:rPr>
        <w:t>Human rights abuse (e.g. child labour, political oppression)</w:t>
      </w:r>
    </w:p>
    <w:p w14:paraId="2A16F61F" w14:textId="77777777" w:rsidR="00E3289C" w:rsidRPr="00F23A42" w:rsidRDefault="00E3289C" w:rsidP="00F30B09">
      <w:pPr>
        <w:numPr>
          <w:ilvl w:val="1"/>
          <w:numId w:val="36"/>
        </w:numPr>
        <w:spacing w:before="120"/>
        <w:ind w:left="1135" w:hanging="284"/>
        <w:jc w:val="both"/>
        <w:rPr>
          <w:rFonts w:ascii="Arial" w:hAnsi="Arial" w:cs="Arial"/>
        </w:rPr>
      </w:pPr>
      <w:r w:rsidRPr="00F23A42">
        <w:rPr>
          <w:rFonts w:ascii="Arial" w:hAnsi="Arial" w:cs="Arial"/>
        </w:rPr>
        <w:t>Environmentally harmful activities (e.g. pollutants, destruction of habitat, fossil fuels)</w:t>
      </w:r>
    </w:p>
    <w:p w14:paraId="4DECC13A" w14:textId="77777777" w:rsidR="00E3289C" w:rsidRPr="00F23A42" w:rsidRDefault="00E3289C" w:rsidP="00F30B09">
      <w:pPr>
        <w:numPr>
          <w:ilvl w:val="1"/>
          <w:numId w:val="36"/>
        </w:numPr>
        <w:spacing w:before="120"/>
        <w:ind w:left="1135" w:hanging="284"/>
        <w:jc w:val="both"/>
        <w:rPr>
          <w:rFonts w:ascii="Arial" w:hAnsi="Arial" w:cs="Arial"/>
        </w:rPr>
      </w:pPr>
      <w:r w:rsidRPr="00F23A42">
        <w:rPr>
          <w:rFonts w:ascii="Arial" w:hAnsi="Arial" w:cs="Arial"/>
        </w:rPr>
        <w:t>Socially harmful activities (e.g. tobacco, gambling)</w:t>
      </w:r>
    </w:p>
    <w:p w14:paraId="0EBDB03B" w14:textId="644DE011" w:rsidR="00E3289C" w:rsidRDefault="00E3289C" w:rsidP="00F30B09">
      <w:pPr>
        <w:widowControl w:val="0"/>
        <w:jc w:val="both"/>
        <w:rPr>
          <w:rFonts w:ascii="Arial" w:hAnsi="Arial" w:cs="Arial"/>
        </w:rPr>
      </w:pPr>
    </w:p>
    <w:p w14:paraId="1A99D89A" w14:textId="77777777" w:rsidR="00F30B09" w:rsidRPr="00F479C2" w:rsidRDefault="00F30B09" w:rsidP="00F30B09">
      <w:pPr>
        <w:widowControl w:val="0"/>
        <w:jc w:val="both"/>
        <w:rPr>
          <w:rFonts w:ascii="Arial" w:hAnsi="Arial" w:cs="Arial"/>
        </w:rPr>
      </w:pPr>
    </w:p>
    <w:p w14:paraId="1E1E78F7" w14:textId="45A150BD" w:rsidR="00E3289C" w:rsidRPr="00F30B09" w:rsidRDefault="00E3289C" w:rsidP="00F30B09">
      <w:pPr>
        <w:pStyle w:val="ListParagraph"/>
        <w:widowControl w:val="0"/>
        <w:numPr>
          <w:ilvl w:val="0"/>
          <w:numId w:val="19"/>
        </w:numPr>
        <w:ind w:left="709" w:hanging="709"/>
        <w:rPr>
          <w:rFonts w:ascii="Arial" w:hAnsi="Arial" w:cs="Arial"/>
          <w:b/>
          <w:sz w:val="28"/>
          <w:szCs w:val="28"/>
          <w:u w:val="single"/>
        </w:rPr>
      </w:pPr>
      <w:r w:rsidRPr="00174DC7">
        <w:rPr>
          <w:rFonts w:ascii="Arial" w:hAnsi="Arial" w:cs="Arial"/>
          <w:b/>
          <w:sz w:val="28"/>
          <w:szCs w:val="28"/>
          <w:u w:val="single"/>
        </w:rPr>
        <w:t>Risk Implications</w:t>
      </w:r>
    </w:p>
    <w:p w14:paraId="121351AF" w14:textId="77777777" w:rsidR="00E3289C" w:rsidRPr="00F479C2" w:rsidRDefault="00E3289C" w:rsidP="00F30B09">
      <w:pPr>
        <w:widowControl w:val="0"/>
        <w:jc w:val="both"/>
        <w:rPr>
          <w:rFonts w:ascii="Arial" w:hAnsi="Arial" w:cs="Arial"/>
        </w:rPr>
      </w:pPr>
    </w:p>
    <w:p w14:paraId="4AC996BC" w14:textId="28FC4415" w:rsidR="00073EF9" w:rsidRPr="008D5C31" w:rsidRDefault="00E3289C" w:rsidP="008D5C31">
      <w:pPr>
        <w:keepNext/>
        <w:widowControl w:val="0"/>
        <w:numPr>
          <w:ilvl w:val="1"/>
          <w:numId w:val="19"/>
        </w:numPr>
        <w:ind w:left="709" w:hanging="709"/>
        <w:jc w:val="both"/>
        <w:rPr>
          <w:rFonts w:ascii="Arial" w:hAnsi="Arial" w:cs="Arial"/>
          <w:b/>
        </w:rPr>
      </w:pPr>
      <w:r w:rsidRPr="008D5C31">
        <w:rPr>
          <w:rFonts w:ascii="Arial" w:hAnsi="Arial" w:cs="Arial"/>
          <w:b/>
        </w:rPr>
        <w:t xml:space="preserve">Monitoring </w:t>
      </w:r>
    </w:p>
    <w:p w14:paraId="70CCAB73" w14:textId="77777777" w:rsidR="00C7655F" w:rsidRDefault="00C7655F" w:rsidP="00F30B09">
      <w:pPr>
        <w:pStyle w:val="ListParagraph"/>
        <w:widowControl w:val="0"/>
        <w:ind w:left="709" w:hanging="709"/>
        <w:jc w:val="both"/>
        <w:rPr>
          <w:rFonts w:ascii="Arial" w:hAnsi="Arial" w:cs="Arial"/>
          <w:b/>
        </w:rPr>
      </w:pPr>
    </w:p>
    <w:p w14:paraId="77F48653" w14:textId="0DF05A65" w:rsidR="00E3289C" w:rsidRPr="00073EF9" w:rsidRDefault="00E3289C" w:rsidP="00F30B09">
      <w:pPr>
        <w:pStyle w:val="ListParagraph"/>
        <w:widowControl w:val="0"/>
        <w:numPr>
          <w:ilvl w:val="2"/>
          <w:numId w:val="29"/>
        </w:numPr>
        <w:ind w:left="709" w:hanging="709"/>
        <w:jc w:val="both"/>
        <w:rPr>
          <w:rFonts w:ascii="Arial" w:hAnsi="Arial" w:cs="Arial"/>
          <w:b/>
        </w:rPr>
      </w:pPr>
      <w:r w:rsidRPr="00073EF9">
        <w:rPr>
          <w:rFonts w:ascii="Arial" w:hAnsi="Arial" w:cs="Arial"/>
        </w:rPr>
        <w:t xml:space="preserve">On a Quarterly basis Officers will report to the Financial Monitoring Panel providing details of new investments, rate of returns and highlighting changes to sovereign rating, group limits and any other relevant treasury issues that may arise. </w:t>
      </w:r>
    </w:p>
    <w:p w14:paraId="4834263E" w14:textId="77777777" w:rsidR="00D60EFC" w:rsidRDefault="00D60EFC" w:rsidP="00F30B09">
      <w:pPr>
        <w:widowControl w:val="0"/>
        <w:ind w:left="709" w:hanging="709"/>
        <w:jc w:val="both"/>
        <w:rPr>
          <w:rFonts w:ascii="Arial" w:hAnsi="Arial"/>
        </w:rPr>
      </w:pPr>
    </w:p>
    <w:p w14:paraId="679BD4FB" w14:textId="2AC36E76" w:rsidR="00E3289C" w:rsidRPr="008D5C31" w:rsidRDefault="00E3289C" w:rsidP="008D5C31">
      <w:pPr>
        <w:keepNext/>
        <w:widowControl w:val="0"/>
        <w:numPr>
          <w:ilvl w:val="1"/>
          <w:numId w:val="19"/>
        </w:numPr>
        <w:ind w:left="709" w:hanging="709"/>
        <w:jc w:val="both"/>
        <w:rPr>
          <w:rFonts w:ascii="Arial" w:hAnsi="Arial" w:cs="Arial"/>
          <w:b/>
        </w:rPr>
      </w:pPr>
      <w:r w:rsidRPr="008D5C31">
        <w:rPr>
          <w:rFonts w:ascii="Arial" w:hAnsi="Arial" w:cs="Arial"/>
          <w:b/>
        </w:rPr>
        <w:t>MIFID II</w:t>
      </w:r>
    </w:p>
    <w:p w14:paraId="313C0477" w14:textId="77777777" w:rsidR="00761DA8" w:rsidRDefault="00761DA8" w:rsidP="00F30B09">
      <w:pPr>
        <w:widowControl w:val="0"/>
        <w:ind w:left="709" w:hanging="709"/>
        <w:jc w:val="both"/>
        <w:rPr>
          <w:rFonts w:ascii="Arial" w:hAnsi="Arial"/>
        </w:rPr>
      </w:pPr>
    </w:p>
    <w:p w14:paraId="0F7F3217" w14:textId="133C78BB" w:rsidR="00E3289C" w:rsidRPr="00AF217F" w:rsidRDefault="00E3289C" w:rsidP="00F30B09">
      <w:pPr>
        <w:pStyle w:val="ListParagraph"/>
        <w:widowControl w:val="0"/>
        <w:numPr>
          <w:ilvl w:val="2"/>
          <w:numId w:val="30"/>
        </w:numPr>
        <w:ind w:left="709" w:hanging="709"/>
        <w:jc w:val="both"/>
        <w:rPr>
          <w:rFonts w:ascii="Arial" w:hAnsi="Arial" w:cs="Arial"/>
        </w:rPr>
      </w:pPr>
      <w:r w:rsidRPr="00AF217F">
        <w:rPr>
          <w:rFonts w:ascii="Arial" w:hAnsi="Arial" w:cs="Arial"/>
        </w:rPr>
        <w:t xml:space="preserve">The European Union Markets in Financial Instruments Directive brought in on the 3 January 2018 means that all financial services such as banks, brokers, advisers and fund managers are required to treat Local Authorities in the same way as they would individuals and small businesses. The council has therefore elected to opt up its status to a professional client to allow it to continue to interact with these counterparties and continue to deal in the products currently utilised. </w:t>
      </w:r>
    </w:p>
    <w:p w14:paraId="1DB155FA" w14:textId="77777777" w:rsidR="00E3289C" w:rsidRPr="00F479C2" w:rsidRDefault="00E3289C" w:rsidP="00F30B09">
      <w:pPr>
        <w:widowControl w:val="0"/>
        <w:tabs>
          <w:tab w:val="left" w:pos="0"/>
        </w:tabs>
        <w:ind w:left="709" w:hanging="709"/>
        <w:jc w:val="both"/>
        <w:rPr>
          <w:rFonts w:ascii="Arial" w:hAnsi="Arial" w:cs="Arial"/>
        </w:rPr>
      </w:pPr>
    </w:p>
    <w:p w14:paraId="373C2572" w14:textId="0F22FE62" w:rsidR="00E3289C" w:rsidRPr="00761DA8" w:rsidRDefault="00E3289C" w:rsidP="00F30B09">
      <w:pPr>
        <w:pStyle w:val="ListParagraph"/>
        <w:widowControl w:val="0"/>
        <w:numPr>
          <w:ilvl w:val="2"/>
          <w:numId w:val="30"/>
        </w:numPr>
        <w:ind w:left="709" w:hanging="709"/>
        <w:jc w:val="both"/>
        <w:rPr>
          <w:rFonts w:ascii="Arial" w:hAnsi="Arial" w:cs="Arial"/>
        </w:rPr>
      </w:pPr>
      <w:r w:rsidRPr="00761DA8">
        <w:rPr>
          <w:rFonts w:ascii="Arial" w:hAnsi="Arial" w:cs="Arial"/>
        </w:rPr>
        <w:t>To this end Hertsmere is adopting the approach endorsed by the LGA by electing to return to professional status. This process involved notifying all our investment managers, advisors, brokers etc. that the Council wished to opt up to Professional Status and evidencing the Councils competence to do so.</w:t>
      </w:r>
    </w:p>
    <w:p w14:paraId="19756726" w14:textId="77777777" w:rsidR="00E3289C" w:rsidRPr="00F479C2" w:rsidRDefault="00E3289C" w:rsidP="00F30B09">
      <w:pPr>
        <w:widowControl w:val="0"/>
        <w:tabs>
          <w:tab w:val="left" w:pos="0"/>
        </w:tabs>
        <w:ind w:left="709" w:hanging="709"/>
        <w:jc w:val="both"/>
        <w:rPr>
          <w:rFonts w:ascii="Arial" w:hAnsi="Arial" w:cs="Arial"/>
        </w:rPr>
      </w:pPr>
    </w:p>
    <w:p w14:paraId="4802E363" w14:textId="77777777" w:rsidR="00E3289C" w:rsidRPr="00F479C2" w:rsidRDefault="00E3289C" w:rsidP="00F30B09">
      <w:pPr>
        <w:widowControl w:val="0"/>
        <w:numPr>
          <w:ilvl w:val="2"/>
          <w:numId w:val="30"/>
        </w:numPr>
        <w:ind w:left="709" w:hanging="709"/>
        <w:jc w:val="both"/>
        <w:rPr>
          <w:rFonts w:ascii="Arial" w:hAnsi="Arial" w:cs="Arial"/>
        </w:rPr>
      </w:pPr>
      <w:r w:rsidRPr="00F479C2">
        <w:rPr>
          <w:rFonts w:ascii="Arial" w:hAnsi="Arial" w:cs="Arial"/>
        </w:rPr>
        <w:t>Having opted in the Council are required to disclose on a yearly basis any material changes that could impact our status and it was recommended that this position be reported annually in the Treasury Management Strategy (TMS) and end of year report to Audit Committee. Hertsmere still meets all the required tests to enable it to opt up to Professional Status.</w:t>
      </w:r>
    </w:p>
    <w:p w14:paraId="31DA2ADA" w14:textId="77777777" w:rsidR="00E3289C" w:rsidRPr="00F479C2" w:rsidRDefault="00E3289C" w:rsidP="00F30B09">
      <w:pPr>
        <w:widowControl w:val="0"/>
        <w:tabs>
          <w:tab w:val="left" w:pos="0"/>
        </w:tabs>
        <w:ind w:left="709" w:hanging="709"/>
        <w:jc w:val="both"/>
        <w:rPr>
          <w:rFonts w:ascii="Arial" w:hAnsi="Arial" w:cs="Arial"/>
        </w:rPr>
      </w:pPr>
    </w:p>
    <w:p w14:paraId="19AAB787" w14:textId="77777777" w:rsidR="00E3289C" w:rsidRPr="00F479C2" w:rsidRDefault="00E3289C" w:rsidP="00F30B09">
      <w:pPr>
        <w:widowControl w:val="0"/>
        <w:numPr>
          <w:ilvl w:val="2"/>
          <w:numId w:val="30"/>
        </w:numPr>
        <w:ind w:left="709" w:hanging="709"/>
        <w:jc w:val="both"/>
        <w:rPr>
          <w:rFonts w:ascii="Arial" w:hAnsi="Arial" w:cs="Arial"/>
        </w:rPr>
      </w:pPr>
      <w:r w:rsidRPr="00F479C2">
        <w:rPr>
          <w:rFonts w:ascii="Arial" w:hAnsi="Arial" w:cs="Arial"/>
        </w:rPr>
        <w:t xml:space="preserve">It should be noted that the election to Professional status has not resulted in any additional risk or change in approach as this decision was to maintain the professional status offered to the Council prior to MIFID II. The Council will continue to undertake investments in accordance with the approved </w:t>
      </w:r>
      <w:proofErr w:type="gramStart"/>
      <w:r w:rsidRPr="00F479C2">
        <w:rPr>
          <w:rFonts w:ascii="Arial" w:hAnsi="Arial" w:cs="Arial"/>
        </w:rPr>
        <w:t>TMS</w:t>
      </w:r>
      <w:proofErr w:type="gramEnd"/>
      <w:r w:rsidRPr="00F479C2">
        <w:rPr>
          <w:rFonts w:ascii="Arial" w:hAnsi="Arial" w:cs="Arial"/>
        </w:rPr>
        <w:t xml:space="preserve"> and the Prudential Code and officers will continue to look to secure the optimum return on investments commensurate with proper levels of security and liquidity.</w:t>
      </w:r>
    </w:p>
    <w:p w14:paraId="454F70B6" w14:textId="289D574B" w:rsidR="00E3289C" w:rsidRPr="00E651C4" w:rsidRDefault="00E3289C" w:rsidP="00F30B09">
      <w:pPr>
        <w:pStyle w:val="ListParagraph"/>
        <w:widowControl w:val="0"/>
        <w:numPr>
          <w:ilvl w:val="0"/>
          <w:numId w:val="19"/>
        </w:numPr>
        <w:ind w:left="709" w:hanging="709"/>
        <w:rPr>
          <w:rFonts w:ascii="Arial" w:hAnsi="Arial" w:cs="Arial"/>
          <w:b/>
          <w:sz w:val="28"/>
          <w:szCs w:val="28"/>
          <w:u w:val="single"/>
        </w:rPr>
      </w:pPr>
      <w:r w:rsidRPr="008D5C31">
        <w:rPr>
          <w:rFonts w:ascii="Arial" w:hAnsi="Arial" w:cs="Arial"/>
          <w:b/>
          <w:sz w:val="28"/>
          <w:szCs w:val="28"/>
          <w:u w:val="single"/>
        </w:rPr>
        <w:br w:type="page"/>
      </w:r>
      <w:r w:rsidRPr="00E651C4">
        <w:rPr>
          <w:rFonts w:ascii="Arial" w:hAnsi="Arial" w:cs="Arial"/>
          <w:b/>
          <w:sz w:val="28"/>
          <w:szCs w:val="28"/>
          <w:u w:val="single"/>
        </w:rPr>
        <w:lastRenderedPageBreak/>
        <w:t>Treasury Management scheme of delegation</w:t>
      </w:r>
    </w:p>
    <w:p w14:paraId="13A3D893" w14:textId="77777777" w:rsidR="00E3289C" w:rsidRPr="00E651C4" w:rsidRDefault="00E3289C" w:rsidP="00F30B09">
      <w:pPr>
        <w:widowControl w:val="0"/>
        <w:tabs>
          <w:tab w:val="left" w:pos="0"/>
        </w:tabs>
        <w:ind w:left="360"/>
        <w:jc w:val="both"/>
        <w:rPr>
          <w:rFonts w:ascii="Arial" w:hAnsi="Arial" w:cs="Arial"/>
          <w:b/>
          <w:sz w:val="28"/>
          <w:szCs w:val="28"/>
          <w:u w:val="single"/>
        </w:rPr>
      </w:pPr>
    </w:p>
    <w:p w14:paraId="0FB84CCE" w14:textId="5E9A503D" w:rsidR="00E3289C" w:rsidRPr="008D5C31" w:rsidRDefault="00E3289C" w:rsidP="008D5C31">
      <w:pPr>
        <w:keepNext/>
        <w:widowControl w:val="0"/>
        <w:numPr>
          <w:ilvl w:val="1"/>
          <w:numId w:val="19"/>
        </w:numPr>
        <w:ind w:left="709" w:hanging="709"/>
        <w:jc w:val="both"/>
        <w:rPr>
          <w:rFonts w:ascii="Arial" w:hAnsi="Arial" w:cs="Arial"/>
          <w:b/>
        </w:rPr>
      </w:pPr>
      <w:r w:rsidRPr="008D5C31">
        <w:rPr>
          <w:rFonts w:ascii="Arial" w:hAnsi="Arial" w:cs="Arial"/>
          <w:b/>
        </w:rPr>
        <w:t>Scheme of Delegation</w:t>
      </w:r>
    </w:p>
    <w:p w14:paraId="2C6746AA" w14:textId="77777777" w:rsidR="00E3289C" w:rsidRPr="00E651C4" w:rsidRDefault="00E3289C" w:rsidP="00F30B09">
      <w:pPr>
        <w:widowControl w:val="0"/>
        <w:tabs>
          <w:tab w:val="left" w:pos="0"/>
        </w:tabs>
        <w:ind w:left="360"/>
        <w:jc w:val="both"/>
        <w:rPr>
          <w:rFonts w:ascii="Arial" w:hAnsi="Arial" w:cs="Arial"/>
          <w:b/>
          <w:sz w:val="28"/>
          <w:szCs w:val="28"/>
          <w:u w:val="single"/>
        </w:rPr>
      </w:pPr>
    </w:p>
    <w:p w14:paraId="110EBAB5" w14:textId="77777777" w:rsidR="00E3289C" w:rsidRPr="00E651C4" w:rsidRDefault="00E3289C" w:rsidP="00F30B09">
      <w:pPr>
        <w:widowControl w:val="0"/>
        <w:numPr>
          <w:ilvl w:val="0"/>
          <w:numId w:val="13"/>
        </w:numPr>
        <w:autoSpaceDE w:val="0"/>
        <w:autoSpaceDN w:val="0"/>
        <w:adjustRightInd w:val="0"/>
        <w:ind w:left="1134" w:hanging="425"/>
        <w:jc w:val="both"/>
        <w:rPr>
          <w:rFonts w:ascii="Arial" w:hAnsi="Arial" w:cs="Arial"/>
          <w:b/>
          <w:bCs/>
        </w:rPr>
      </w:pPr>
      <w:r w:rsidRPr="00E651C4">
        <w:rPr>
          <w:rFonts w:ascii="Arial" w:hAnsi="Arial" w:cs="Arial"/>
          <w:b/>
          <w:bCs/>
        </w:rPr>
        <w:t>Full Council</w:t>
      </w:r>
    </w:p>
    <w:p w14:paraId="7D1D6826"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receiving and reviewing reports on Treasury Management strategy and policy</w:t>
      </w:r>
    </w:p>
    <w:p w14:paraId="6C31750F"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approval of annual strategy</w:t>
      </w:r>
    </w:p>
    <w:p w14:paraId="4064B902"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approval of/amendments to the organisation’s adopted clauses, and treasury management practices</w:t>
      </w:r>
    </w:p>
    <w:p w14:paraId="731A659A"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approval of the division of responsibilities</w:t>
      </w:r>
    </w:p>
    <w:p w14:paraId="56B8CA04" w14:textId="77777777" w:rsidR="00E3289C" w:rsidRPr="00E651C4" w:rsidRDefault="00E3289C" w:rsidP="00F30B09">
      <w:pPr>
        <w:widowControl w:val="0"/>
        <w:autoSpaceDE w:val="0"/>
        <w:autoSpaceDN w:val="0"/>
        <w:adjustRightInd w:val="0"/>
        <w:ind w:left="720"/>
        <w:jc w:val="both"/>
        <w:rPr>
          <w:rFonts w:ascii="Arial" w:hAnsi="Arial" w:cs="Arial"/>
        </w:rPr>
      </w:pPr>
    </w:p>
    <w:p w14:paraId="0A2AEC13" w14:textId="77777777" w:rsidR="00E3289C" w:rsidRPr="00E651C4" w:rsidRDefault="00E3289C" w:rsidP="00F30B09">
      <w:pPr>
        <w:widowControl w:val="0"/>
        <w:numPr>
          <w:ilvl w:val="0"/>
          <w:numId w:val="13"/>
        </w:numPr>
        <w:autoSpaceDE w:val="0"/>
        <w:autoSpaceDN w:val="0"/>
        <w:adjustRightInd w:val="0"/>
        <w:ind w:left="1134" w:hanging="425"/>
        <w:jc w:val="both"/>
        <w:rPr>
          <w:rFonts w:ascii="Arial" w:hAnsi="Arial" w:cs="Arial"/>
          <w:b/>
          <w:bCs/>
        </w:rPr>
      </w:pPr>
      <w:r w:rsidRPr="00E651C4">
        <w:rPr>
          <w:rFonts w:ascii="Arial" w:hAnsi="Arial" w:cs="Arial"/>
          <w:b/>
          <w:bCs/>
        </w:rPr>
        <w:t>Audit Committee</w:t>
      </w:r>
    </w:p>
    <w:p w14:paraId="2BAF489B"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scrutiny of/amendments to the organisation’s adopted clauses, and treasury management practices</w:t>
      </w:r>
    </w:p>
    <w:p w14:paraId="7E812285"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scrutiny of the division of responsibilities</w:t>
      </w:r>
    </w:p>
    <w:p w14:paraId="3B163BB5" w14:textId="77777777" w:rsidR="00E3289C" w:rsidRPr="00E651C4" w:rsidRDefault="00E3289C" w:rsidP="00F30B09">
      <w:pPr>
        <w:widowControl w:val="0"/>
        <w:autoSpaceDE w:val="0"/>
        <w:autoSpaceDN w:val="0"/>
        <w:adjustRightInd w:val="0"/>
        <w:ind w:left="360"/>
        <w:jc w:val="both"/>
        <w:rPr>
          <w:rFonts w:ascii="Arial" w:hAnsi="Arial" w:cs="Arial"/>
        </w:rPr>
      </w:pPr>
    </w:p>
    <w:p w14:paraId="5EFD5E1A" w14:textId="77777777" w:rsidR="00E3289C" w:rsidRPr="00E651C4" w:rsidRDefault="00E3289C" w:rsidP="00F30B09">
      <w:pPr>
        <w:widowControl w:val="0"/>
        <w:numPr>
          <w:ilvl w:val="0"/>
          <w:numId w:val="13"/>
        </w:numPr>
        <w:autoSpaceDE w:val="0"/>
        <w:autoSpaceDN w:val="0"/>
        <w:adjustRightInd w:val="0"/>
        <w:ind w:left="1134" w:hanging="425"/>
        <w:jc w:val="both"/>
        <w:rPr>
          <w:rFonts w:ascii="Arial" w:hAnsi="Arial" w:cs="Arial"/>
          <w:b/>
          <w:bCs/>
        </w:rPr>
      </w:pPr>
      <w:r w:rsidRPr="00E651C4">
        <w:rPr>
          <w:rFonts w:ascii="Arial" w:hAnsi="Arial" w:cs="Arial"/>
          <w:b/>
          <w:bCs/>
        </w:rPr>
        <w:t>Financial Monitoring Panel</w:t>
      </w:r>
    </w:p>
    <w:p w14:paraId="390FF2FF"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Scrutiny of Treasury Management Performance</w:t>
      </w:r>
    </w:p>
    <w:p w14:paraId="33E9FB87"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receiving and reviewing regular monitoring reports and scrutinising on-going Treasury Management performance.</w:t>
      </w:r>
    </w:p>
    <w:p w14:paraId="32632A2F" w14:textId="77777777" w:rsidR="00E3289C" w:rsidRPr="00E651C4" w:rsidRDefault="00E3289C" w:rsidP="00F30B09">
      <w:pPr>
        <w:widowControl w:val="0"/>
        <w:autoSpaceDE w:val="0"/>
        <w:autoSpaceDN w:val="0"/>
        <w:adjustRightInd w:val="0"/>
        <w:jc w:val="both"/>
        <w:rPr>
          <w:rFonts w:ascii="Arial" w:hAnsi="Arial" w:cs="Arial"/>
          <w:b/>
          <w:bCs/>
        </w:rPr>
      </w:pPr>
    </w:p>
    <w:p w14:paraId="21561322" w14:textId="77777777" w:rsidR="00E3289C" w:rsidRPr="00E651C4" w:rsidRDefault="00E3289C" w:rsidP="00F30B09">
      <w:pPr>
        <w:widowControl w:val="0"/>
        <w:numPr>
          <w:ilvl w:val="0"/>
          <w:numId w:val="13"/>
        </w:numPr>
        <w:autoSpaceDE w:val="0"/>
        <w:autoSpaceDN w:val="0"/>
        <w:adjustRightInd w:val="0"/>
        <w:ind w:left="1134" w:hanging="425"/>
        <w:jc w:val="both"/>
        <w:rPr>
          <w:rFonts w:ascii="Arial" w:hAnsi="Arial" w:cs="Arial"/>
          <w:b/>
          <w:bCs/>
        </w:rPr>
      </w:pPr>
      <w:r>
        <w:rPr>
          <w:rFonts w:ascii="Arial" w:hAnsi="Arial" w:cs="Arial"/>
          <w:b/>
          <w:bCs/>
        </w:rPr>
        <w:t>Chief Executive</w:t>
      </w:r>
    </w:p>
    <w:p w14:paraId="7E28D2D1"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reviewing the treasury management policy and procedures and making recommendations to the responsible body.</w:t>
      </w:r>
    </w:p>
    <w:p w14:paraId="7F2CA976"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Strategic management of the Treasury management function and setting of operational limits in respect of treasury transactions.</w:t>
      </w:r>
    </w:p>
    <w:p w14:paraId="6F6E18B6" w14:textId="77777777" w:rsidR="00E3289C" w:rsidRPr="00E651C4" w:rsidRDefault="00E3289C" w:rsidP="00F30B09">
      <w:pPr>
        <w:widowControl w:val="0"/>
        <w:ind w:left="709"/>
        <w:jc w:val="both"/>
        <w:rPr>
          <w:rFonts w:ascii="Arial" w:hAnsi="Arial" w:cs="Arial"/>
          <w:b/>
        </w:rPr>
      </w:pPr>
    </w:p>
    <w:p w14:paraId="6DB70044" w14:textId="77777777" w:rsidR="00E3289C" w:rsidRPr="00E651C4" w:rsidRDefault="00E3289C" w:rsidP="008D5C31">
      <w:pPr>
        <w:keepNext/>
        <w:widowControl w:val="0"/>
        <w:numPr>
          <w:ilvl w:val="1"/>
          <w:numId w:val="19"/>
        </w:numPr>
        <w:ind w:left="709" w:hanging="709"/>
        <w:jc w:val="both"/>
        <w:rPr>
          <w:rFonts w:ascii="Arial" w:hAnsi="Arial" w:cs="Arial"/>
          <w:b/>
        </w:rPr>
      </w:pPr>
      <w:r w:rsidRPr="00E651C4">
        <w:rPr>
          <w:rFonts w:ascii="Arial" w:hAnsi="Arial" w:cs="Arial"/>
          <w:b/>
        </w:rPr>
        <w:t>The Treasury Management role of the section 151 officer</w:t>
      </w:r>
    </w:p>
    <w:p w14:paraId="20921E2D"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recommending clauses, treasury management policy/practices for approval, reviewing the same regularly, and monitoring compliance</w:t>
      </w:r>
    </w:p>
    <w:p w14:paraId="209C665D"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submitting regular treasury management policy reports</w:t>
      </w:r>
    </w:p>
    <w:p w14:paraId="2B0FB23D"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submitting budgets and budget variations</w:t>
      </w:r>
    </w:p>
    <w:p w14:paraId="14358755"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receiving and reviewing management information reports</w:t>
      </w:r>
    </w:p>
    <w:p w14:paraId="6495920E"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reviewing the performance of the treasury management function</w:t>
      </w:r>
    </w:p>
    <w:p w14:paraId="59111C8B"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ensuring the adequacy of treasury management resources and skills, and the effective division of responsibilities within the treasury management function</w:t>
      </w:r>
    </w:p>
    <w:p w14:paraId="0080EB33" w14:textId="77777777" w:rsidR="00E3289C" w:rsidRPr="00E651C4"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ensuring the adequacy of internal audit, and liaising with external audit</w:t>
      </w:r>
    </w:p>
    <w:p w14:paraId="09143796" w14:textId="77777777" w:rsidR="00D60EFC" w:rsidRDefault="00E3289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E651C4">
        <w:rPr>
          <w:rFonts w:ascii="Arial" w:hAnsi="Arial" w:cs="Arial"/>
        </w:rPr>
        <w:t>recommending the appointment of external service providers.</w:t>
      </w:r>
    </w:p>
    <w:p w14:paraId="195802D2" w14:textId="77777777" w:rsidR="00D60EFC" w:rsidRDefault="00D60EF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D60EFC">
        <w:rPr>
          <w:rFonts w:ascii="Arial" w:hAnsi="Arial" w:cs="Arial"/>
          <w:color w:val="000000" w:themeColor="text1"/>
        </w:rPr>
        <w:t xml:space="preserve">preparation of a Capital Strategy to include </w:t>
      </w:r>
      <w:r w:rsidRPr="00D60EFC">
        <w:rPr>
          <w:rFonts w:ascii="Arial" w:hAnsi="Arial" w:cs="Arial"/>
          <w:bCs/>
          <w:color w:val="000000" w:themeColor="text1"/>
        </w:rPr>
        <w:t xml:space="preserve">capital expenditure, capital </w:t>
      </w:r>
      <w:r w:rsidRPr="00D60EFC">
        <w:rPr>
          <w:rFonts w:ascii="Arial" w:hAnsi="Arial" w:cs="Arial"/>
          <w:bCs/>
          <w:color w:val="000000" w:themeColor="text1"/>
        </w:rPr>
        <w:lastRenderedPageBreak/>
        <w:t xml:space="preserve">financing, non-financial investments and treasury management, </w:t>
      </w:r>
      <w:r w:rsidRPr="00D60EFC">
        <w:rPr>
          <w:rFonts w:ascii="Arial" w:hAnsi="Arial" w:cs="Arial"/>
          <w:color w:val="000000" w:themeColor="text1"/>
        </w:rPr>
        <w:t xml:space="preserve">with a long-term timeframe </w:t>
      </w:r>
    </w:p>
    <w:p w14:paraId="5ADC4780" w14:textId="77777777" w:rsidR="00D60EFC" w:rsidRDefault="00D60EF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D60EFC">
        <w:rPr>
          <w:rFonts w:ascii="Arial" w:hAnsi="Arial" w:cs="Arial"/>
        </w:rPr>
        <w:t>ensuring that the Capital Strategy is prudent, sustainable, affordable and prudent in the long term and provides value for money</w:t>
      </w:r>
    </w:p>
    <w:p w14:paraId="58C6DE27" w14:textId="77777777" w:rsidR="00D60EFC" w:rsidRDefault="00D60EF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D60EFC">
        <w:rPr>
          <w:rFonts w:ascii="Arial" w:hAnsi="Arial" w:cs="Arial"/>
        </w:rPr>
        <w:t>ensuring that due diligence has been carried out on all treasury and non-financial investments and is in accordance with the risk appetite of the authority</w:t>
      </w:r>
    </w:p>
    <w:p w14:paraId="2EDBA62D" w14:textId="77777777" w:rsidR="00D60EFC" w:rsidRDefault="00D60EF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D60EFC">
        <w:rPr>
          <w:rFonts w:ascii="Arial" w:hAnsi="Arial" w:cs="Arial"/>
        </w:rPr>
        <w:t>ensure that the council has appropriate legal powers to undertake expenditure on non-financial assets and their financing</w:t>
      </w:r>
    </w:p>
    <w:p w14:paraId="1DB55F5C" w14:textId="77777777" w:rsidR="00D60EFC" w:rsidRDefault="00D60EF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D60EFC">
        <w:rPr>
          <w:rFonts w:ascii="Arial" w:hAnsi="Arial" w:cs="Arial"/>
        </w:rPr>
        <w:t>ensuring the proportionality of all investments so that the council does not undertake a level of investing which exposes the council to an excessive level of risk compared to its financial resources</w:t>
      </w:r>
    </w:p>
    <w:p w14:paraId="61EA3BBA" w14:textId="77777777" w:rsidR="00D60EFC" w:rsidRDefault="00D60EF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D60EFC">
        <w:rPr>
          <w:rFonts w:ascii="Arial" w:hAnsi="Arial" w:cs="Arial"/>
          <w:color w:val="0D0D0D" w:themeColor="text1" w:themeTint="F2"/>
        </w:rPr>
        <w:t>ensuring that an adequate governance process is in place for the approval, monitoring and ongoing risk management of all non-financial investments and long-term liabilities</w:t>
      </w:r>
    </w:p>
    <w:p w14:paraId="494E1107" w14:textId="77777777" w:rsidR="00D60EFC" w:rsidRDefault="00D60EF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D60EFC">
        <w:rPr>
          <w:rFonts w:ascii="Arial" w:hAnsi="Arial" w:cs="Arial"/>
          <w:color w:val="0D0D0D" w:themeColor="text1" w:themeTint="F2"/>
        </w:rPr>
        <w:t xml:space="preserve">provision to members of a schedule of all non-treasury investments including material investments in subsidiaries, joint ventures, loans and financial guarantees </w:t>
      </w:r>
    </w:p>
    <w:p w14:paraId="64265EFC" w14:textId="77777777" w:rsidR="00D60EFC" w:rsidRDefault="00D60EF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D60EFC">
        <w:rPr>
          <w:rFonts w:ascii="Arial" w:hAnsi="Arial" w:cs="Arial"/>
          <w:color w:val="0D0D0D" w:themeColor="text1" w:themeTint="F2"/>
        </w:rPr>
        <w:t xml:space="preserve">ensuring that members are adequately informed and understand the risk exposures taken on </w:t>
      </w:r>
      <w:r w:rsidRPr="00D60EFC">
        <w:rPr>
          <w:rFonts w:ascii="Arial" w:hAnsi="Arial" w:cs="Arial"/>
        </w:rPr>
        <w:t>by the council</w:t>
      </w:r>
    </w:p>
    <w:p w14:paraId="24F0F001" w14:textId="77777777" w:rsidR="00D60EFC" w:rsidRDefault="00D60EF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D60EFC">
        <w:rPr>
          <w:rFonts w:ascii="Arial" w:hAnsi="Arial" w:cs="Arial"/>
        </w:rPr>
        <w:t>ensuring that the council has adequate expertise, either in house or externally provided, to carry out the above</w:t>
      </w:r>
    </w:p>
    <w:p w14:paraId="6EC71BC8" w14:textId="3E3E411E" w:rsidR="00D60EFC" w:rsidRPr="00D60EFC" w:rsidRDefault="00D60EFC" w:rsidP="00F30B09">
      <w:pPr>
        <w:widowControl w:val="0"/>
        <w:numPr>
          <w:ilvl w:val="0"/>
          <w:numId w:val="3"/>
        </w:numPr>
        <w:tabs>
          <w:tab w:val="clear" w:pos="720"/>
        </w:tabs>
        <w:autoSpaceDE w:val="0"/>
        <w:autoSpaceDN w:val="0"/>
        <w:adjustRightInd w:val="0"/>
        <w:spacing w:before="120"/>
        <w:ind w:left="1418" w:hanging="284"/>
        <w:jc w:val="both"/>
        <w:rPr>
          <w:rFonts w:ascii="Arial" w:hAnsi="Arial" w:cs="Arial"/>
        </w:rPr>
      </w:pPr>
      <w:r w:rsidRPr="00D60EFC">
        <w:rPr>
          <w:rFonts w:ascii="Arial" w:hAnsi="Arial" w:cs="Arial"/>
        </w:rPr>
        <w:t>creation of Treasury Management Practices which specifically</w:t>
      </w:r>
      <w:r>
        <w:rPr>
          <w:rFonts w:ascii="Arial" w:hAnsi="Arial" w:cs="Arial"/>
        </w:rPr>
        <w:t xml:space="preserve"> </w:t>
      </w:r>
      <w:r w:rsidRPr="00D60EFC">
        <w:rPr>
          <w:rFonts w:ascii="Arial" w:hAnsi="Arial" w:cs="Arial"/>
        </w:rPr>
        <w:t>deal with how non treasury investments will be carried out and managed</w:t>
      </w:r>
    </w:p>
    <w:p w14:paraId="7AA862DE" w14:textId="7781C0CA" w:rsidR="00E3289C" w:rsidRPr="00AF4A65" w:rsidRDefault="00E3289C" w:rsidP="00F30B09">
      <w:pPr>
        <w:numPr>
          <w:ilvl w:val="0"/>
          <w:numId w:val="25"/>
        </w:numPr>
        <w:autoSpaceDE w:val="0"/>
        <w:autoSpaceDN w:val="0"/>
        <w:adjustRightInd w:val="0"/>
        <w:spacing w:before="90" w:after="90"/>
        <w:jc w:val="both"/>
        <w:rPr>
          <w:rFonts w:ascii="Arial" w:hAnsi="Arial" w:cs="Arial"/>
          <w:b/>
          <w:vanish/>
          <w:color w:val="FFFFFF" w:themeColor="background1"/>
        </w:rPr>
      </w:pPr>
      <w:r>
        <w:rPr>
          <w:rFonts w:ascii="Arial" w:hAnsi="Arial" w:cs="Arial"/>
        </w:rPr>
        <w:t>.</w:t>
      </w:r>
    </w:p>
    <w:p w14:paraId="28E5CC45" w14:textId="77777777" w:rsidR="00E3289C" w:rsidRPr="00E651C4" w:rsidRDefault="00E3289C" w:rsidP="00F30B09">
      <w:pPr>
        <w:autoSpaceDE w:val="0"/>
        <w:autoSpaceDN w:val="0"/>
        <w:adjustRightInd w:val="0"/>
        <w:spacing w:before="90" w:after="90"/>
        <w:jc w:val="both"/>
        <w:rPr>
          <w:rFonts w:ascii="Arial" w:hAnsi="Arial" w:cs="Arial"/>
          <w:b/>
          <w:vanish/>
          <w:color w:val="FFFFFF" w:themeColor="background1"/>
        </w:rPr>
      </w:pPr>
    </w:p>
    <w:p w14:paraId="12DA4305" w14:textId="77777777" w:rsidR="00E3289C" w:rsidRPr="00E651C4" w:rsidRDefault="00E3289C" w:rsidP="00F30B09">
      <w:pPr>
        <w:pStyle w:val="ListParagraph"/>
        <w:numPr>
          <w:ilvl w:val="0"/>
          <w:numId w:val="30"/>
        </w:numPr>
        <w:tabs>
          <w:tab w:val="left" w:pos="0"/>
        </w:tabs>
        <w:jc w:val="both"/>
        <w:rPr>
          <w:rFonts w:ascii="Arial" w:hAnsi="Arial" w:cs="Arial"/>
          <w:b/>
          <w:vanish/>
          <w:color w:val="FFFFFF" w:themeColor="background1"/>
        </w:rPr>
      </w:pPr>
    </w:p>
    <w:p w14:paraId="5A49C306" w14:textId="77777777" w:rsidR="00E3289C" w:rsidRPr="00E651C4" w:rsidRDefault="00E3289C" w:rsidP="00F30B09">
      <w:pPr>
        <w:pStyle w:val="ListParagraph"/>
        <w:numPr>
          <w:ilvl w:val="0"/>
          <w:numId w:val="30"/>
        </w:numPr>
        <w:tabs>
          <w:tab w:val="left" w:pos="0"/>
        </w:tabs>
        <w:jc w:val="both"/>
        <w:rPr>
          <w:rFonts w:ascii="Arial" w:hAnsi="Arial" w:cs="Arial"/>
          <w:b/>
          <w:vanish/>
          <w:color w:val="FFFFFF" w:themeColor="background1"/>
        </w:rPr>
      </w:pPr>
    </w:p>
    <w:p w14:paraId="5ACB9D76" w14:textId="77777777" w:rsidR="00E3289C" w:rsidRPr="00E651C4" w:rsidRDefault="00E3289C" w:rsidP="00F30B09">
      <w:pPr>
        <w:pStyle w:val="ListParagraph"/>
        <w:numPr>
          <w:ilvl w:val="0"/>
          <w:numId w:val="30"/>
        </w:numPr>
        <w:tabs>
          <w:tab w:val="left" w:pos="0"/>
        </w:tabs>
        <w:jc w:val="both"/>
        <w:rPr>
          <w:rFonts w:ascii="Arial" w:hAnsi="Arial" w:cs="Arial"/>
          <w:b/>
          <w:vanish/>
          <w:color w:val="FFFFFF" w:themeColor="background1"/>
        </w:rPr>
      </w:pPr>
    </w:p>
    <w:p w14:paraId="5064A15E" w14:textId="77777777" w:rsidR="00E3289C" w:rsidRDefault="00E3289C" w:rsidP="00F30B09">
      <w:pPr>
        <w:widowControl w:val="0"/>
        <w:ind w:left="709"/>
        <w:jc w:val="both"/>
        <w:rPr>
          <w:rFonts w:ascii="Arial" w:hAnsi="Arial" w:cs="Arial"/>
          <w:b/>
        </w:rPr>
      </w:pPr>
    </w:p>
    <w:p w14:paraId="3F8F6366" w14:textId="77777777" w:rsidR="00E3289C" w:rsidRPr="00E651C4" w:rsidRDefault="00E3289C" w:rsidP="00F30B09">
      <w:pPr>
        <w:widowControl w:val="0"/>
        <w:ind w:left="709"/>
        <w:jc w:val="both"/>
        <w:rPr>
          <w:rFonts w:ascii="Arial" w:hAnsi="Arial" w:cs="Arial"/>
          <w:b/>
        </w:rPr>
      </w:pPr>
    </w:p>
    <w:p w14:paraId="497FECB8" w14:textId="77777777" w:rsidR="008D5C31" w:rsidRDefault="00AF217F" w:rsidP="008D5C31">
      <w:pPr>
        <w:keepNext/>
        <w:widowControl w:val="0"/>
        <w:numPr>
          <w:ilvl w:val="1"/>
          <w:numId w:val="19"/>
        </w:numPr>
        <w:ind w:left="709" w:hanging="709"/>
        <w:jc w:val="both"/>
        <w:rPr>
          <w:rFonts w:ascii="Arial" w:hAnsi="Arial" w:cs="Arial"/>
          <w:b/>
        </w:rPr>
      </w:pPr>
      <w:r>
        <w:rPr>
          <w:rFonts w:ascii="Arial" w:hAnsi="Arial" w:cs="Arial"/>
          <w:b/>
        </w:rPr>
        <w:t>Dealing Limits</w:t>
      </w:r>
    </w:p>
    <w:p w14:paraId="335399B1" w14:textId="77777777" w:rsidR="008D5C31" w:rsidRPr="008D5C31" w:rsidRDefault="008D5C31" w:rsidP="008D5C31">
      <w:pPr>
        <w:keepNext/>
        <w:widowControl w:val="0"/>
        <w:jc w:val="both"/>
        <w:rPr>
          <w:rFonts w:ascii="Arial" w:hAnsi="Arial" w:cs="Arial"/>
          <w:b/>
        </w:rPr>
      </w:pPr>
    </w:p>
    <w:p w14:paraId="2B7EEAAA" w14:textId="4BA92740" w:rsidR="00E3289C" w:rsidRPr="008D5C31" w:rsidRDefault="00E3289C" w:rsidP="008D5C31">
      <w:pPr>
        <w:keepNext/>
        <w:widowControl w:val="0"/>
        <w:numPr>
          <w:ilvl w:val="2"/>
          <w:numId w:val="19"/>
        </w:numPr>
        <w:ind w:left="709" w:hanging="709"/>
        <w:jc w:val="both"/>
        <w:rPr>
          <w:rFonts w:ascii="Arial" w:hAnsi="Arial" w:cs="Arial"/>
          <w:b/>
        </w:rPr>
      </w:pPr>
      <w:r w:rsidRPr="008D5C31">
        <w:rPr>
          <w:rFonts w:ascii="Arial" w:hAnsi="Arial" w:cs="Arial"/>
        </w:rPr>
        <w:t>All investments require approval by two desig</w:t>
      </w:r>
      <w:r w:rsidR="00073EF9" w:rsidRPr="008D5C31">
        <w:rPr>
          <w:rFonts w:ascii="Arial" w:hAnsi="Arial" w:cs="Arial"/>
        </w:rPr>
        <w:t>n</w:t>
      </w:r>
      <w:r w:rsidR="00F30B09" w:rsidRPr="008D5C31">
        <w:rPr>
          <w:rFonts w:ascii="Arial" w:hAnsi="Arial" w:cs="Arial"/>
        </w:rPr>
        <w:t xml:space="preserve">ated officers before funds can </w:t>
      </w:r>
      <w:r w:rsidRPr="008D5C31">
        <w:rPr>
          <w:rFonts w:ascii="Arial" w:hAnsi="Arial" w:cs="Arial"/>
        </w:rPr>
        <w:t>be submitted. There are no dealing limits for individual posts providing the investment has met the criteria as set out in the Treasury Strategy. The following posts are permitted to deal:</w:t>
      </w:r>
    </w:p>
    <w:p w14:paraId="3EFD44E3" w14:textId="77777777" w:rsidR="00E3289C" w:rsidRPr="00E651C4" w:rsidRDefault="00E3289C" w:rsidP="00F30B09">
      <w:pPr>
        <w:pStyle w:val="ListParagraph"/>
        <w:tabs>
          <w:tab w:val="left" w:pos="0"/>
        </w:tabs>
        <w:ind w:left="1667"/>
        <w:jc w:val="both"/>
        <w:rPr>
          <w:rFonts w:ascii="Arial" w:hAnsi="Arial" w:cs="Arial"/>
        </w:rPr>
      </w:pPr>
    </w:p>
    <w:p w14:paraId="15489D19" w14:textId="77777777" w:rsidR="00E3289C" w:rsidRPr="00E651C4" w:rsidRDefault="00E3289C" w:rsidP="00F30B09">
      <w:pPr>
        <w:pStyle w:val="ListParagraph"/>
        <w:numPr>
          <w:ilvl w:val="1"/>
          <w:numId w:val="7"/>
        </w:numPr>
        <w:tabs>
          <w:tab w:val="left" w:pos="0"/>
        </w:tabs>
        <w:jc w:val="both"/>
        <w:rPr>
          <w:rFonts w:ascii="Arial" w:hAnsi="Arial" w:cs="Arial"/>
        </w:rPr>
      </w:pPr>
      <w:r w:rsidRPr="00E651C4">
        <w:rPr>
          <w:rFonts w:ascii="Arial" w:hAnsi="Arial" w:cs="Arial"/>
        </w:rPr>
        <w:t>Financial Services Manager – also approver</w:t>
      </w:r>
    </w:p>
    <w:p w14:paraId="1DBF7963" w14:textId="77777777" w:rsidR="00E3289C" w:rsidRPr="00E651C4" w:rsidRDefault="00E3289C" w:rsidP="00F30B09">
      <w:pPr>
        <w:pStyle w:val="ListParagraph"/>
        <w:numPr>
          <w:ilvl w:val="1"/>
          <w:numId w:val="7"/>
        </w:numPr>
        <w:tabs>
          <w:tab w:val="left" w:pos="0"/>
        </w:tabs>
        <w:jc w:val="both"/>
        <w:rPr>
          <w:rFonts w:ascii="Arial" w:hAnsi="Arial" w:cs="Arial"/>
        </w:rPr>
      </w:pPr>
      <w:r w:rsidRPr="00E651C4">
        <w:rPr>
          <w:rFonts w:ascii="Arial" w:hAnsi="Arial" w:cs="Arial"/>
        </w:rPr>
        <w:t>Senior Finance Business Partner – also approver</w:t>
      </w:r>
    </w:p>
    <w:p w14:paraId="55A0925F" w14:textId="77777777" w:rsidR="00E3289C" w:rsidRPr="00E651C4" w:rsidRDefault="00E3289C" w:rsidP="00F30B09">
      <w:pPr>
        <w:pStyle w:val="ListParagraph"/>
        <w:numPr>
          <w:ilvl w:val="1"/>
          <w:numId w:val="7"/>
        </w:numPr>
        <w:tabs>
          <w:tab w:val="left" w:pos="0"/>
        </w:tabs>
        <w:jc w:val="both"/>
        <w:rPr>
          <w:rFonts w:ascii="Arial" w:hAnsi="Arial" w:cs="Arial"/>
        </w:rPr>
      </w:pPr>
      <w:r w:rsidRPr="00E651C4">
        <w:rPr>
          <w:rFonts w:ascii="Arial" w:hAnsi="Arial" w:cs="Arial"/>
        </w:rPr>
        <w:t>Senior Financial Accountant – also approver</w:t>
      </w:r>
    </w:p>
    <w:p w14:paraId="0C1C2453" w14:textId="77777777" w:rsidR="00E3289C" w:rsidRPr="00E651C4" w:rsidRDefault="00E3289C" w:rsidP="00F30B09">
      <w:pPr>
        <w:pStyle w:val="ListParagraph"/>
        <w:tabs>
          <w:tab w:val="left" w:pos="0"/>
        </w:tabs>
        <w:ind w:left="1667"/>
        <w:jc w:val="both"/>
        <w:rPr>
          <w:rFonts w:ascii="Arial" w:hAnsi="Arial" w:cs="Arial"/>
        </w:rPr>
      </w:pPr>
    </w:p>
    <w:p w14:paraId="2EAA4784" w14:textId="77777777" w:rsidR="00E3289C" w:rsidRPr="00E651C4" w:rsidRDefault="00E3289C" w:rsidP="00F30B09">
      <w:pPr>
        <w:pStyle w:val="ListParagraph"/>
        <w:numPr>
          <w:ilvl w:val="1"/>
          <w:numId w:val="7"/>
        </w:numPr>
        <w:tabs>
          <w:tab w:val="left" w:pos="0"/>
        </w:tabs>
        <w:jc w:val="both"/>
        <w:rPr>
          <w:rFonts w:ascii="Arial" w:hAnsi="Arial" w:cs="Arial"/>
        </w:rPr>
      </w:pPr>
      <w:r w:rsidRPr="00E651C4">
        <w:rPr>
          <w:rFonts w:ascii="Arial" w:hAnsi="Arial" w:cs="Arial"/>
        </w:rPr>
        <w:t>Finance Business Partner</w:t>
      </w:r>
    </w:p>
    <w:p w14:paraId="558651BE" w14:textId="77777777" w:rsidR="00E3289C" w:rsidRDefault="00E3289C" w:rsidP="00F30B09">
      <w:pPr>
        <w:pStyle w:val="ListParagraph"/>
        <w:numPr>
          <w:ilvl w:val="1"/>
          <w:numId w:val="7"/>
        </w:numPr>
        <w:tabs>
          <w:tab w:val="left" w:pos="0"/>
        </w:tabs>
        <w:jc w:val="both"/>
        <w:rPr>
          <w:rFonts w:ascii="Arial" w:hAnsi="Arial" w:cs="Arial"/>
        </w:rPr>
      </w:pPr>
      <w:r w:rsidRPr="00E651C4">
        <w:rPr>
          <w:rFonts w:ascii="Arial" w:hAnsi="Arial" w:cs="Arial"/>
        </w:rPr>
        <w:t>Assistant Business Accountant</w:t>
      </w:r>
    </w:p>
    <w:p w14:paraId="1CFAC81B" w14:textId="77777777" w:rsidR="00E3289C" w:rsidRPr="00E651C4" w:rsidRDefault="00E3289C" w:rsidP="00F30B09">
      <w:pPr>
        <w:pStyle w:val="ListParagraph"/>
        <w:numPr>
          <w:ilvl w:val="1"/>
          <w:numId w:val="7"/>
        </w:numPr>
        <w:tabs>
          <w:tab w:val="left" w:pos="0"/>
        </w:tabs>
        <w:jc w:val="both"/>
        <w:rPr>
          <w:rFonts w:ascii="Arial" w:hAnsi="Arial" w:cs="Arial"/>
        </w:rPr>
      </w:pPr>
      <w:r>
        <w:rPr>
          <w:rFonts w:ascii="Arial" w:hAnsi="Arial" w:cs="Arial"/>
        </w:rPr>
        <w:t>Accountancy Assistant</w:t>
      </w:r>
    </w:p>
    <w:p w14:paraId="4A0925AD" w14:textId="77777777" w:rsidR="008D5C31" w:rsidRDefault="008D5C31" w:rsidP="00F30B09">
      <w:pPr>
        <w:widowControl w:val="0"/>
        <w:ind w:firstLine="709"/>
        <w:jc w:val="both"/>
        <w:rPr>
          <w:rFonts w:ascii="Arial" w:hAnsi="Arial" w:cs="Arial"/>
        </w:rPr>
      </w:pPr>
    </w:p>
    <w:p w14:paraId="778D2EDD" w14:textId="77777777" w:rsidR="008D5C31" w:rsidRDefault="00E3289C" w:rsidP="008D5C31">
      <w:pPr>
        <w:keepNext/>
        <w:widowControl w:val="0"/>
        <w:numPr>
          <w:ilvl w:val="2"/>
          <w:numId w:val="19"/>
        </w:numPr>
        <w:ind w:left="709" w:hanging="709"/>
        <w:jc w:val="both"/>
        <w:rPr>
          <w:rFonts w:ascii="Arial" w:hAnsi="Arial" w:cs="Arial"/>
        </w:rPr>
      </w:pPr>
      <w:r w:rsidRPr="00AF217F">
        <w:rPr>
          <w:rFonts w:ascii="Arial" w:hAnsi="Arial" w:cs="Arial"/>
        </w:rPr>
        <w:t>There is segregation of anyone dealing and/or approving on each day.</w:t>
      </w:r>
    </w:p>
    <w:p w14:paraId="3EFE0754" w14:textId="77777777" w:rsidR="008D5C31" w:rsidRDefault="008D5C31" w:rsidP="008D5C31">
      <w:pPr>
        <w:keepNext/>
        <w:widowControl w:val="0"/>
        <w:ind w:left="709"/>
        <w:jc w:val="both"/>
        <w:rPr>
          <w:rFonts w:ascii="Arial" w:hAnsi="Arial" w:cs="Arial"/>
        </w:rPr>
      </w:pPr>
    </w:p>
    <w:p w14:paraId="0C0F5A5F" w14:textId="77777777" w:rsidR="008D5C31" w:rsidRDefault="00E3289C" w:rsidP="008D5C31">
      <w:pPr>
        <w:keepNext/>
        <w:widowControl w:val="0"/>
        <w:numPr>
          <w:ilvl w:val="2"/>
          <w:numId w:val="19"/>
        </w:numPr>
        <w:ind w:left="709" w:hanging="709"/>
        <w:jc w:val="both"/>
        <w:rPr>
          <w:rFonts w:ascii="Arial" w:hAnsi="Arial" w:cs="Arial"/>
        </w:rPr>
      </w:pPr>
      <w:r w:rsidRPr="008D5C31">
        <w:rPr>
          <w:rFonts w:ascii="Arial" w:hAnsi="Arial" w:cs="Arial"/>
        </w:rPr>
        <w:t xml:space="preserve">The above officers have delegated powers conferred on them by statute or by special rules and regulations. Such officer will have levels of authorisation not commensurate with their management tier. The levels of authorisation will be </w:t>
      </w:r>
      <w:r w:rsidRPr="008D5C31">
        <w:rPr>
          <w:rFonts w:ascii="Arial" w:hAnsi="Arial" w:cs="Arial"/>
        </w:rPr>
        <w:lastRenderedPageBreak/>
        <w:t>based on their statutory responsibilities and not necessarily on what tier of management they may be.</w:t>
      </w:r>
    </w:p>
    <w:p w14:paraId="440AAC7A" w14:textId="77777777" w:rsidR="008D5C31" w:rsidRDefault="008D5C31" w:rsidP="008D5C31">
      <w:pPr>
        <w:pStyle w:val="ListParagraph"/>
        <w:rPr>
          <w:rFonts w:ascii="Arial" w:hAnsi="Arial" w:cs="Arial"/>
        </w:rPr>
      </w:pPr>
    </w:p>
    <w:p w14:paraId="68EEE5D1" w14:textId="3FCBE4A5" w:rsidR="00E3289C" w:rsidRPr="008D5C31" w:rsidRDefault="00E3289C" w:rsidP="008D5C31">
      <w:pPr>
        <w:keepNext/>
        <w:widowControl w:val="0"/>
        <w:numPr>
          <w:ilvl w:val="2"/>
          <w:numId w:val="19"/>
        </w:numPr>
        <w:ind w:left="709" w:hanging="709"/>
        <w:jc w:val="both"/>
        <w:rPr>
          <w:rFonts w:ascii="Arial" w:hAnsi="Arial" w:cs="Arial"/>
        </w:rPr>
      </w:pPr>
      <w:r w:rsidRPr="008D5C31">
        <w:rPr>
          <w:rFonts w:ascii="Arial" w:hAnsi="Arial" w:cs="Arial"/>
        </w:rPr>
        <w:t>The table below summarises the posts who can either approve, place deals or both and the treasury approval limit:</w:t>
      </w:r>
    </w:p>
    <w:p w14:paraId="2FF36B27" w14:textId="77777777" w:rsidR="00E3289C" w:rsidRPr="00187BBA" w:rsidRDefault="00E3289C" w:rsidP="00F30B09">
      <w:pPr>
        <w:pStyle w:val="ListParagraph"/>
        <w:jc w:val="both"/>
        <w:rPr>
          <w:rFonts w:ascii="Arial" w:hAnsi="Arial" w:cs="Arial"/>
        </w:rPr>
      </w:pPr>
    </w:p>
    <w:tbl>
      <w:tblPr>
        <w:tblW w:w="8363" w:type="dxa"/>
        <w:tblInd w:w="699" w:type="dxa"/>
        <w:tblLook w:val="04A0" w:firstRow="1" w:lastRow="0" w:firstColumn="1" w:lastColumn="0" w:noHBand="0" w:noVBand="1"/>
      </w:tblPr>
      <w:tblGrid>
        <w:gridCol w:w="4226"/>
        <w:gridCol w:w="2153"/>
        <w:gridCol w:w="1984"/>
      </w:tblGrid>
      <w:tr w:rsidR="00E3289C" w:rsidRPr="00187BBA" w14:paraId="03776D91" w14:textId="77777777" w:rsidTr="00E3289C">
        <w:trPr>
          <w:trHeight w:val="547"/>
        </w:trPr>
        <w:tc>
          <w:tcPr>
            <w:tcW w:w="4226"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862840C" w14:textId="77777777" w:rsidR="00E3289C" w:rsidRPr="00187BBA" w:rsidRDefault="00E3289C" w:rsidP="00F30B09">
            <w:pPr>
              <w:jc w:val="both"/>
              <w:rPr>
                <w:rFonts w:ascii="Arial" w:hAnsi="Arial" w:cs="Arial"/>
                <w:b/>
                <w:bCs/>
                <w:color w:val="000000"/>
                <w:lang w:eastAsia="en-GB"/>
              </w:rPr>
            </w:pPr>
            <w:r w:rsidRPr="00187BBA">
              <w:rPr>
                <w:rFonts w:ascii="Arial" w:hAnsi="Arial" w:cs="Arial"/>
                <w:b/>
                <w:bCs/>
                <w:color w:val="000000"/>
                <w:lang w:eastAsia="en-GB"/>
              </w:rPr>
              <w:t>Post Title</w:t>
            </w:r>
          </w:p>
        </w:tc>
        <w:tc>
          <w:tcPr>
            <w:tcW w:w="2153" w:type="dxa"/>
            <w:tcBorders>
              <w:top w:val="single" w:sz="8" w:space="0" w:color="auto"/>
              <w:left w:val="nil"/>
              <w:bottom w:val="single" w:sz="8" w:space="0" w:color="auto"/>
              <w:right w:val="single" w:sz="8" w:space="0" w:color="auto"/>
            </w:tcBorders>
            <w:shd w:val="clear" w:color="000000" w:fill="D9D9D9"/>
            <w:vAlign w:val="center"/>
            <w:hideMark/>
          </w:tcPr>
          <w:p w14:paraId="667081C5" w14:textId="77777777" w:rsidR="00E3289C" w:rsidRPr="00187BBA" w:rsidRDefault="00E3289C" w:rsidP="00F30B09">
            <w:pPr>
              <w:jc w:val="both"/>
              <w:rPr>
                <w:rFonts w:ascii="Arial" w:hAnsi="Arial" w:cs="Arial"/>
                <w:b/>
                <w:bCs/>
                <w:color w:val="000000"/>
                <w:lang w:eastAsia="en-GB"/>
              </w:rPr>
            </w:pPr>
            <w:r w:rsidRPr="00187BBA">
              <w:rPr>
                <w:rFonts w:ascii="Arial" w:hAnsi="Arial" w:cs="Arial"/>
                <w:b/>
                <w:bCs/>
                <w:color w:val="000000"/>
                <w:lang w:eastAsia="en-GB"/>
              </w:rPr>
              <w:t>Role</w:t>
            </w:r>
          </w:p>
        </w:tc>
        <w:tc>
          <w:tcPr>
            <w:tcW w:w="1984" w:type="dxa"/>
            <w:tcBorders>
              <w:top w:val="single" w:sz="8" w:space="0" w:color="auto"/>
              <w:left w:val="nil"/>
              <w:bottom w:val="single" w:sz="8" w:space="0" w:color="auto"/>
              <w:right w:val="single" w:sz="8" w:space="0" w:color="auto"/>
            </w:tcBorders>
            <w:shd w:val="clear" w:color="000000" w:fill="D9D9D9"/>
            <w:vAlign w:val="center"/>
            <w:hideMark/>
          </w:tcPr>
          <w:p w14:paraId="052F525D" w14:textId="77777777" w:rsidR="00E3289C" w:rsidRPr="00187BBA" w:rsidRDefault="00E3289C" w:rsidP="00F30B09">
            <w:pPr>
              <w:jc w:val="both"/>
              <w:rPr>
                <w:rFonts w:ascii="Arial" w:hAnsi="Arial" w:cs="Arial"/>
                <w:b/>
                <w:bCs/>
                <w:color w:val="000000"/>
                <w:lang w:eastAsia="en-GB"/>
              </w:rPr>
            </w:pPr>
            <w:r w:rsidRPr="00187BBA">
              <w:rPr>
                <w:rFonts w:ascii="Arial" w:hAnsi="Arial" w:cs="Arial"/>
                <w:b/>
                <w:bCs/>
                <w:color w:val="000000"/>
                <w:lang w:eastAsia="en-GB"/>
              </w:rPr>
              <w:t>Treasury Limit</w:t>
            </w:r>
          </w:p>
        </w:tc>
      </w:tr>
      <w:tr w:rsidR="00E3289C" w:rsidRPr="00187BBA" w14:paraId="2E2DD4E0" w14:textId="77777777" w:rsidTr="00E3289C">
        <w:trPr>
          <w:trHeight w:val="272"/>
        </w:trPr>
        <w:tc>
          <w:tcPr>
            <w:tcW w:w="4226" w:type="dxa"/>
            <w:tcBorders>
              <w:top w:val="single" w:sz="8" w:space="0" w:color="auto"/>
              <w:left w:val="single" w:sz="8" w:space="0" w:color="auto"/>
              <w:bottom w:val="single" w:sz="8" w:space="0" w:color="auto"/>
              <w:right w:val="single" w:sz="8" w:space="0" w:color="auto"/>
            </w:tcBorders>
            <w:vAlign w:val="center"/>
            <w:hideMark/>
          </w:tcPr>
          <w:p w14:paraId="17B2F47F" w14:textId="77777777" w:rsidR="00E3289C" w:rsidRPr="00187BBA" w:rsidRDefault="00E3289C" w:rsidP="00F30B09">
            <w:pPr>
              <w:jc w:val="both"/>
              <w:rPr>
                <w:rFonts w:ascii="Arial" w:hAnsi="Arial" w:cs="Arial"/>
                <w:color w:val="000000"/>
                <w:lang w:eastAsia="en-GB"/>
              </w:rPr>
            </w:pPr>
            <w:r>
              <w:rPr>
                <w:rFonts w:ascii="Arial" w:hAnsi="Arial" w:cs="Arial"/>
                <w:color w:val="000000"/>
                <w:lang w:eastAsia="en-GB"/>
              </w:rPr>
              <w:t>Chief Executive</w:t>
            </w:r>
          </w:p>
        </w:tc>
        <w:tc>
          <w:tcPr>
            <w:tcW w:w="2153" w:type="dxa"/>
            <w:tcBorders>
              <w:top w:val="nil"/>
              <w:left w:val="nil"/>
              <w:bottom w:val="single" w:sz="8" w:space="0" w:color="auto"/>
              <w:right w:val="single" w:sz="8" w:space="0" w:color="auto"/>
            </w:tcBorders>
            <w:vAlign w:val="center"/>
            <w:hideMark/>
          </w:tcPr>
          <w:p w14:paraId="475A750B"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Approver</w:t>
            </w:r>
          </w:p>
        </w:tc>
        <w:tc>
          <w:tcPr>
            <w:tcW w:w="1984" w:type="dxa"/>
            <w:tcBorders>
              <w:top w:val="nil"/>
              <w:left w:val="nil"/>
              <w:bottom w:val="single" w:sz="8" w:space="0" w:color="auto"/>
              <w:right w:val="single" w:sz="8" w:space="0" w:color="auto"/>
            </w:tcBorders>
            <w:vAlign w:val="center"/>
            <w:hideMark/>
          </w:tcPr>
          <w:p w14:paraId="7448F6B8"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Unlimited</w:t>
            </w:r>
          </w:p>
        </w:tc>
      </w:tr>
      <w:tr w:rsidR="00E3289C" w:rsidRPr="00187BBA" w14:paraId="5E61EAF4" w14:textId="77777777" w:rsidTr="00E3289C">
        <w:trPr>
          <w:trHeight w:val="262"/>
        </w:trPr>
        <w:tc>
          <w:tcPr>
            <w:tcW w:w="4226" w:type="dxa"/>
            <w:tcBorders>
              <w:top w:val="single" w:sz="8" w:space="0" w:color="auto"/>
              <w:left w:val="single" w:sz="8" w:space="0" w:color="auto"/>
              <w:bottom w:val="single" w:sz="8" w:space="0" w:color="auto"/>
              <w:right w:val="single" w:sz="8" w:space="0" w:color="auto"/>
            </w:tcBorders>
            <w:vAlign w:val="center"/>
            <w:hideMark/>
          </w:tcPr>
          <w:p w14:paraId="2F4C5BBC"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Executive Director</w:t>
            </w:r>
          </w:p>
        </w:tc>
        <w:tc>
          <w:tcPr>
            <w:tcW w:w="2153" w:type="dxa"/>
            <w:tcBorders>
              <w:top w:val="nil"/>
              <w:left w:val="nil"/>
              <w:bottom w:val="single" w:sz="8" w:space="0" w:color="auto"/>
              <w:right w:val="single" w:sz="8" w:space="0" w:color="auto"/>
            </w:tcBorders>
            <w:vAlign w:val="center"/>
            <w:hideMark/>
          </w:tcPr>
          <w:p w14:paraId="1F680448"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Approver</w:t>
            </w:r>
          </w:p>
        </w:tc>
        <w:tc>
          <w:tcPr>
            <w:tcW w:w="1984" w:type="dxa"/>
            <w:tcBorders>
              <w:top w:val="nil"/>
              <w:left w:val="nil"/>
              <w:bottom w:val="single" w:sz="8" w:space="0" w:color="auto"/>
              <w:right w:val="single" w:sz="8" w:space="0" w:color="auto"/>
            </w:tcBorders>
            <w:vAlign w:val="center"/>
            <w:hideMark/>
          </w:tcPr>
          <w:p w14:paraId="7478EE7B"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Unlimited</w:t>
            </w:r>
          </w:p>
        </w:tc>
      </w:tr>
      <w:tr w:rsidR="00E3289C" w:rsidRPr="00187BBA" w14:paraId="002165A8" w14:textId="77777777" w:rsidTr="00E3289C">
        <w:trPr>
          <w:trHeight w:val="252"/>
        </w:trPr>
        <w:tc>
          <w:tcPr>
            <w:tcW w:w="4226" w:type="dxa"/>
            <w:tcBorders>
              <w:top w:val="single" w:sz="8" w:space="0" w:color="auto"/>
              <w:left w:val="single" w:sz="8" w:space="0" w:color="auto"/>
              <w:bottom w:val="single" w:sz="8" w:space="0" w:color="auto"/>
              <w:right w:val="single" w:sz="8" w:space="0" w:color="auto"/>
            </w:tcBorders>
            <w:vAlign w:val="center"/>
            <w:hideMark/>
          </w:tcPr>
          <w:p w14:paraId="6D7F7FA9" w14:textId="77777777" w:rsidR="00E3289C" w:rsidRPr="00187BBA" w:rsidRDefault="00E3289C" w:rsidP="00F30B09">
            <w:pPr>
              <w:jc w:val="both"/>
              <w:rPr>
                <w:rFonts w:ascii="Arial" w:hAnsi="Arial" w:cs="Arial"/>
                <w:color w:val="000000"/>
                <w:lang w:eastAsia="en-GB"/>
              </w:rPr>
            </w:pPr>
            <w:r>
              <w:rPr>
                <w:rFonts w:ascii="Arial" w:hAnsi="Arial" w:cs="Arial"/>
                <w:color w:val="000000"/>
                <w:lang w:eastAsia="en-GB"/>
              </w:rPr>
              <w:t>Assistant Director - Finance</w:t>
            </w:r>
            <w:r w:rsidRPr="00187BBA">
              <w:rPr>
                <w:rFonts w:ascii="Arial" w:hAnsi="Arial" w:cs="Arial"/>
                <w:color w:val="000000"/>
                <w:lang w:eastAsia="en-GB"/>
              </w:rPr>
              <w:t xml:space="preserve"> (S151 Officer)</w:t>
            </w:r>
          </w:p>
        </w:tc>
        <w:tc>
          <w:tcPr>
            <w:tcW w:w="2153" w:type="dxa"/>
            <w:tcBorders>
              <w:top w:val="nil"/>
              <w:left w:val="nil"/>
              <w:bottom w:val="single" w:sz="8" w:space="0" w:color="auto"/>
              <w:right w:val="single" w:sz="8" w:space="0" w:color="auto"/>
            </w:tcBorders>
            <w:vAlign w:val="center"/>
            <w:hideMark/>
          </w:tcPr>
          <w:p w14:paraId="4F515B3F"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 xml:space="preserve">Approver </w:t>
            </w:r>
          </w:p>
        </w:tc>
        <w:tc>
          <w:tcPr>
            <w:tcW w:w="1984" w:type="dxa"/>
            <w:tcBorders>
              <w:top w:val="nil"/>
              <w:left w:val="nil"/>
              <w:bottom w:val="single" w:sz="8" w:space="0" w:color="auto"/>
              <w:right w:val="single" w:sz="8" w:space="0" w:color="auto"/>
            </w:tcBorders>
            <w:vAlign w:val="center"/>
            <w:hideMark/>
          </w:tcPr>
          <w:p w14:paraId="7F266C9B"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Unlimited</w:t>
            </w:r>
          </w:p>
        </w:tc>
      </w:tr>
      <w:tr w:rsidR="00E3289C" w:rsidRPr="00187BBA" w14:paraId="41980233" w14:textId="77777777" w:rsidTr="00E3289C">
        <w:trPr>
          <w:trHeight w:val="269"/>
        </w:trPr>
        <w:tc>
          <w:tcPr>
            <w:tcW w:w="4226" w:type="dxa"/>
            <w:tcBorders>
              <w:top w:val="single" w:sz="8" w:space="0" w:color="auto"/>
              <w:left w:val="single" w:sz="8" w:space="0" w:color="auto"/>
              <w:bottom w:val="single" w:sz="8" w:space="0" w:color="auto"/>
              <w:right w:val="single" w:sz="8" w:space="0" w:color="auto"/>
            </w:tcBorders>
            <w:vAlign w:val="center"/>
          </w:tcPr>
          <w:p w14:paraId="1C458E83" w14:textId="77777777" w:rsidR="00E3289C" w:rsidRDefault="00E3289C" w:rsidP="00F30B09">
            <w:pPr>
              <w:jc w:val="both"/>
              <w:rPr>
                <w:rFonts w:ascii="Arial" w:hAnsi="Arial" w:cs="Arial"/>
                <w:color w:val="000000"/>
                <w:lang w:eastAsia="en-GB"/>
              </w:rPr>
            </w:pPr>
            <w:r w:rsidRPr="008A25A0">
              <w:rPr>
                <w:rFonts w:ascii="Arial" w:hAnsi="Arial" w:cs="Arial"/>
                <w:color w:val="000000"/>
                <w:lang w:eastAsia="en-GB"/>
              </w:rPr>
              <w:t>Assistant Direct</w:t>
            </w:r>
            <w:r>
              <w:rPr>
                <w:rFonts w:ascii="Arial" w:hAnsi="Arial" w:cs="Arial"/>
                <w:color w:val="000000"/>
                <w:lang w:eastAsia="en-GB"/>
              </w:rPr>
              <w:t xml:space="preserve">or Legal and Democratic </w:t>
            </w:r>
            <w:proofErr w:type="gramStart"/>
            <w:r>
              <w:rPr>
                <w:rFonts w:ascii="Arial" w:hAnsi="Arial" w:cs="Arial"/>
                <w:color w:val="000000"/>
                <w:lang w:eastAsia="en-GB"/>
              </w:rPr>
              <w:t>Services  (</w:t>
            </w:r>
            <w:proofErr w:type="gramEnd"/>
            <w:r w:rsidRPr="008A25A0">
              <w:rPr>
                <w:rFonts w:ascii="Arial" w:hAnsi="Arial" w:cs="Arial"/>
                <w:color w:val="000000"/>
                <w:lang w:eastAsia="en-GB"/>
              </w:rPr>
              <w:t>Monitoring Officer</w:t>
            </w:r>
            <w:r>
              <w:rPr>
                <w:rFonts w:ascii="Arial" w:hAnsi="Arial" w:cs="Arial"/>
                <w:color w:val="000000"/>
                <w:lang w:eastAsia="en-GB"/>
              </w:rPr>
              <w:t>)</w:t>
            </w:r>
          </w:p>
        </w:tc>
        <w:tc>
          <w:tcPr>
            <w:tcW w:w="2153" w:type="dxa"/>
            <w:tcBorders>
              <w:top w:val="nil"/>
              <w:left w:val="nil"/>
              <w:bottom w:val="single" w:sz="8" w:space="0" w:color="auto"/>
              <w:right w:val="single" w:sz="8" w:space="0" w:color="auto"/>
            </w:tcBorders>
            <w:vAlign w:val="center"/>
          </w:tcPr>
          <w:p w14:paraId="3378FF13"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Approver</w:t>
            </w:r>
          </w:p>
        </w:tc>
        <w:tc>
          <w:tcPr>
            <w:tcW w:w="1984" w:type="dxa"/>
            <w:tcBorders>
              <w:top w:val="nil"/>
              <w:left w:val="nil"/>
              <w:bottom w:val="single" w:sz="8" w:space="0" w:color="auto"/>
              <w:right w:val="single" w:sz="8" w:space="0" w:color="auto"/>
            </w:tcBorders>
            <w:vAlign w:val="center"/>
          </w:tcPr>
          <w:p w14:paraId="43DE48B4"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Unlimited</w:t>
            </w:r>
          </w:p>
        </w:tc>
      </w:tr>
      <w:tr w:rsidR="00E3289C" w:rsidRPr="00187BBA" w14:paraId="48D123EC" w14:textId="77777777" w:rsidTr="00E3289C">
        <w:trPr>
          <w:trHeight w:val="269"/>
        </w:trPr>
        <w:tc>
          <w:tcPr>
            <w:tcW w:w="4226" w:type="dxa"/>
            <w:tcBorders>
              <w:top w:val="single" w:sz="8" w:space="0" w:color="auto"/>
              <w:left w:val="single" w:sz="8" w:space="0" w:color="auto"/>
              <w:bottom w:val="single" w:sz="8" w:space="0" w:color="auto"/>
              <w:right w:val="single" w:sz="8" w:space="0" w:color="auto"/>
            </w:tcBorders>
            <w:vAlign w:val="center"/>
            <w:hideMark/>
          </w:tcPr>
          <w:p w14:paraId="7F992C13" w14:textId="77777777" w:rsidR="00E3289C" w:rsidRPr="00187BBA" w:rsidRDefault="00E3289C" w:rsidP="00F30B09">
            <w:pPr>
              <w:jc w:val="both"/>
              <w:rPr>
                <w:rFonts w:ascii="Arial" w:hAnsi="Arial" w:cs="Arial"/>
                <w:color w:val="000000"/>
                <w:lang w:eastAsia="en-GB"/>
              </w:rPr>
            </w:pPr>
            <w:r>
              <w:rPr>
                <w:rFonts w:ascii="Arial" w:hAnsi="Arial" w:cs="Arial"/>
                <w:color w:val="000000"/>
                <w:lang w:eastAsia="en-GB"/>
              </w:rPr>
              <w:t>Financial Services Manager</w:t>
            </w:r>
          </w:p>
        </w:tc>
        <w:tc>
          <w:tcPr>
            <w:tcW w:w="2153" w:type="dxa"/>
            <w:tcBorders>
              <w:top w:val="nil"/>
              <w:left w:val="nil"/>
              <w:bottom w:val="single" w:sz="8" w:space="0" w:color="auto"/>
              <w:right w:val="single" w:sz="8" w:space="0" w:color="auto"/>
            </w:tcBorders>
            <w:vAlign w:val="center"/>
            <w:hideMark/>
          </w:tcPr>
          <w:p w14:paraId="323CD508"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Approver / Dealer</w:t>
            </w:r>
          </w:p>
        </w:tc>
        <w:tc>
          <w:tcPr>
            <w:tcW w:w="1984" w:type="dxa"/>
            <w:tcBorders>
              <w:top w:val="nil"/>
              <w:left w:val="nil"/>
              <w:bottom w:val="single" w:sz="8" w:space="0" w:color="auto"/>
              <w:right w:val="single" w:sz="8" w:space="0" w:color="auto"/>
            </w:tcBorders>
            <w:vAlign w:val="center"/>
            <w:hideMark/>
          </w:tcPr>
          <w:p w14:paraId="62C55EC2"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Unlimited</w:t>
            </w:r>
          </w:p>
        </w:tc>
      </w:tr>
      <w:tr w:rsidR="00E3289C" w:rsidRPr="00187BBA" w14:paraId="51A88D8A" w14:textId="77777777" w:rsidTr="00E3289C">
        <w:trPr>
          <w:trHeight w:val="262"/>
        </w:trPr>
        <w:tc>
          <w:tcPr>
            <w:tcW w:w="4226" w:type="dxa"/>
            <w:tcBorders>
              <w:top w:val="single" w:sz="8" w:space="0" w:color="auto"/>
              <w:left w:val="single" w:sz="8" w:space="0" w:color="auto"/>
              <w:bottom w:val="single" w:sz="8" w:space="0" w:color="auto"/>
              <w:right w:val="single" w:sz="8" w:space="0" w:color="auto"/>
            </w:tcBorders>
            <w:vAlign w:val="center"/>
            <w:hideMark/>
          </w:tcPr>
          <w:p w14:paraId="1A5C00B5"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Senior Finance Business Partner</w:t>
            </w:r>
          </w:p>
        </w:tc>
        <w:tc>
          <w:tcPr>
            <w:tcW w:w="2153" w:type="dxa"/>
            <w:tcBorders>
              <w:top w:val="single" w:sz="8" w:space="0" w:color="auto"/>
              <w:left w:val="single" w:sz="8" w:space="0" w:color="auto"/>
              <w:bottom w:val="single" w:sz="8" w:space="0" w:color="auto"/>
              <w:right w:val="single" w:sz="8" w:space="0" w:color="auto"/>
            </w:tcBorders>
            <w:vAlign w:val="center"/>
            <w:hideMark/>
          </w:tcPr>
          <w:p w14:paraId="5693EFC7"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Approver / Dealer</w:t>
            </w:r>
          </w:p>
        </w:tc>
        <w:tc>
          <w:tcPr>
            <w:tcW w:w="1984" w:type="dxa"/>
            <w:tcBorders>
              <w:top w:val="single" w:sz="8" w:space="0" w:color="auto"/>
              <w:left w:val="single" w:sz="8" w:space="0" w:color="auto"/>
              <w:bottom w:val="single" w:sz="8" w:space="0" w:color="auto"/>
              <w:right w:val="single" w:sz="8" w:space="0" w:color="auto"/>
            </w:tcBorders>
            <w:vAlign w:val="center"/>
            <w:hideMark/>
          </w:tcPr>
          <w:p w14:paraId="04627ED6"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Unlimited</w:t>
            </w:r>
          </w:p>
        </w:tc>
      </w:tr>
      <w:tr w:rsidR="00E3289C" w:rsidRPr="00187BBA" w14:paraId="2B6B93DB" w14:textId="77777777" w:rsidTr="00E3289C">
        <w:trPr>
          <w:trHeight w:val="262"/>
        </w:trPr>
        <w:tc>
          <w:tcPr>
            <w:tcW w:w="4226" w:type="dxa"/>
            <w:tcBorders>
              <w:top w:val="single" w:sz="8" w:space="0" w:color="auto"/>
              <w:left w:val="single" w:sz="8" w:space="0" w:color="auto"/>
              <w:bottom w:val="single" w:sz="8" w:space="0" w:color="auto"/>
              <w:right w:val="single" w:sz="8" w:space="0" w:color="auto"/>
            </w:tcBorders>
            <w:vAlign w:val="center"/>
          </w:tcPr>
          <w:p w14:paraId="4A4AD102"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Senior Financial Accountant</w:t>
            </w:r>
          </w:p>
        </w:tc>
        <w:tc>
          <w:tcPr>
            <w:tcW w:w="2153" w:type="dxa"/>
            <w:tcBorders>
              <w:top w:val="single" w:sz="8" w:space="0" w:color="auto"/>
              <w:left w:val="single" w:sz="8" w:space="0" w:color="auto"/>
              <w:bottom w:val="single" w:sz="8" w:space="0" w:color="auto"/>
              <w:right w:val="single" w:sz="8" w:space="0" w:color="auto"/>
            </w:tcBorders>
            <w:vAlign w:val="center"/>
          </w:tcPr>
          <w:p w14:paraId="33410674"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Approver / Dealer</w:t>
            </w:r>
          </w:p>
        </w:tc>
        <w:tc>
          <w:tcPr>
            <w:tcW w:w="1984" w:type="dxa"/>
            <w:tcBorders>
              <w:top w:val="single" w:sz="8" w:space="0" w:color="auto"/>
              <w:left w:val="single" w:sz="8" w:space="0" w:color="auto"/>
              <w:bottom w:val="single" w:sz="8" w:space="0" w:color="auto"/>
              <w:right w:val="single" w:sz="8" w:space="0" w:color="auto"/>
            </w:tcBorders>
            <w:vAlign w:val="center"/>
          </w:tcPr>
          <w:p w14:paraId="60A169FA"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N/A</w:t>
            </w:r>
          </w:p>
        </w:tc>
      </w:tr>
      <w:tr w:rsidR="00E3289C" w:rsidRPr="00187BBA" w14:paraId="20396674" w14:textId="77777777" w:rsidTr="00E3289C">
        <w:trPr>
          <w:trHeight w:val="262"/>
        </w:trPr>
        <w:tc>
          <w:tcPr>
            <w:tcW w:w="4226" w:type="dxa"/>
            <w:tcBorders>
              <w:top w:val="single" w:sz="8" w:space="0" w:color="auto"/>
              <w:left w:val="single" w:sz="8" w:space="0" w:color="auto"/>
              <w:bottom w:val="single" w:sz="8" w:space="0" w:color="auto"/>
              <w:right w:val="single" w:sz="8" w:space="0" w:color="auto"/>
            </w:tcBorders>
            <w:vAlign w:val="center"/>
          </w:tcPr>
          <w:p w14:paraId="591411F2" w14:textId="77777777" w:rsidR="00E3289C" w:rsidRPr="00187BBA" w:rsidRDefault="00E3289C" w:rsidP="00F30B09">
            <w:pPr>
              <w:jc w:val="both"/>
              <w:rPr>
                <w:rFonts w:ascii="Arial" w:hAnsi="Arial" w:cs="Arial"/>
                <w:color w:val="000000"/>
                <w:lang w:eastAsia="en-GB"/>
              </w:rPr>
            </w:pPr>
            <w:r>
              <w:rPr>
                <w:rFonts w:ascii="Arial" w:hAnsi="Arial" w:cs="Arial"/>
                <w:color w:val="000000"/>
                <w:lang w:eastAsia="en-GB"/>
              </w:rPr>
              <w:t>Accountancy Assistant</w:t>
            </w:r>
          </w:p>
        </w:tc>
        <w:tc>
          <w:tcPr>
            <w:tcW w:w="2153" w:type="dxa"/>
            <w:tcBorders>
              <w:top w:val="single" w:sz="8" w:space="0" w:color="auto"/>
              <w:left w:val="single" w:sz="8" w:space="0" w:color="auto"/>
              <w:bottom w:val="single" w:sz="8" w:space="0" w:color="auto"/>
              <w:right w:val="single" w:sz="8" w:space="0" w:color="auto"/>
            </w:tcBorders>
            <w:vAlign w:val="center"/>
          </w:tcPr>
          <w:p w14:paraId="72016580" w14:textId="77777777" w:rsidR="00E3289C" w:rsidRPr="00187BBA" w:rsidDel="0075090F" w:rsidRDefault="00E3289C" w:rsidP="00F30B09">
            <w:pPr>
              <w:jc w:val="both"/>
              <w:rPr>
                <w:rFonts w:ascii="Arial" w:hAnsi="Arial" w:cs="Arial"/>
                <w:color w:val="000000"/>
                <w:lang w:eastAsia="en-GB"/>
              </w:rPr>
            </w:pPr>
            <w:r w:rsidRPr="00187BBA">
              <w:rPr>
                <w:rFonts w:ascii="Arial" w:hAnsi="Arial" w:cs="Arial"/>
                <w:color w:val="000000"/>
                <w:lang w:eastAsia="en-GB"/>
              </w:rPr>
              <w:t>Dealer</w:t>
            </w:r>
          </w:p>
        </w:tc>
        <w:tc>
          <w:tcPr>
            <w:tcW w:w="1984" w:type="dxa"/>
            <w:tcBorders>
              <w:top w:val="single" w:sz="8" w:space="0" w:color="auto"/>
              <w:left w:val="single" w:sz="8" w:space="0" w:color="auto"/>
              <w:bottom w:val="single" w:sz="8" w:space="0" w:color="auto"/>
              <w:right w:val="single" w:sz="8" w:space="0" w:color="auto"/>
            </w:tcBorders>
            <w:vAlign w:val="center"/>
          </w:tcPr>
          <w:p w14:paraId="3A9FD19E"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N/A</w:t>
            </w:r>
          </w:p>
        </w:tc>
      </w:tr>
      <w:tr w:rsidR="00E3289C" w:rsidRPr="00187BBA" w14:paraId="2785F39B" w14:textId="77777777" w:rsidTr="00E3289C">
        <w:trPr>
          <w:trHeight w:val="262"/>
        </w:trPr>
        <w:tc>
          <w:tcPr>
            <w:tcW w:w="4226" w:type="dxa"/>
            <w:tcBorders>
              <w:top w:val="single" w:sz="8" w:space="0" w:color="auto"/>
              <w:left w:val="single" w:sz="8" w:space="0" w:color="auto"/>
              <w:bottom w:val="single" w:sz="8" w:space="0" w:color="auto"/>
              <w:right w:val="single" w:sz="8" w:space="0" w:color="auto"/>
            </w:tcBorders>
            <w:vAlign w:val="center"/>
          </w:tcPr>
          <w:p w14:paraId="551C31A1"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Finance Business Partner</w:t>
            </w:r>
          </w:p>
        </w:tc>
        <w:tc>
          <w:tcPr>
            <w:tcW w:w="2153" w:type="dxa"/>
            <w:tcBorders>
              <w:top w:val="nil"/>
              <w:left w:val="nil"/>
              <w:bottom w:val="single" w:sz="8" w:space="0" w:color="auto"/>
              <w:right w:val="single" w:sz="8" w:space="0" w:color="auto"/>
            </w:tcBorders>
            <w:vAlign w:val="center"/>
          </w:tcPr>
          <w:p w14:paraId="35A8BDE3" w14:textId="77777777" w:rsidR="00E3289C" w:rsidRPr="00187BBA" w:rsidDel="0075090F" w:rsidRDefault="00E3289C" w:rsidP="00F30B09">
            <w:pPr>
              <w:jc w:val="both"/>
              <w:rPr>
                <w:rFonts w:ascii="Arial" w:hAnsi="Arial" w:cs="Arial"/>
                <w:color w:val="000000"/>
                <w:lang w:eastAsia="en-GB"/>
              </w:rPr>
            </w:pPr>
            <w:r w:rsidRPr="00187BBA">
              <w:rPr>
                <w:rFonts w:ascii="Arial" w:hAnsi="Arial" w:cs="Arial"/>
                <w:color w:val="000000"/>
                <w:lang w:eastAsia="en-GB"/>
              </w:rPr>
              <w:t>Dealer</w:t>
            </w:r>
          </w:p>
        </w:tc>
        <w:tc>
          <w:tcPr>
            <w:tcW w:w="1984" w:type="dxa"/>
            <w:tcBorders>
              <w:top w:val="nil"/>
              <w:left w:val="nil"/>
              <w:bottom w:val="single" w:sz="8" w:space="0" w:color="auto"/>
              <w:right w:val="single" w:sz="8" w:space="0" w:color="auto"/>
            </w:tcBorders>
            <w:vAlign w:val="center"/>
          </w:tcPr>
          <w:p w14:paraId="2589837C" w14:textId="77777777" w:rsidR="00E3289C" w:rsidRPr="00187BBA" w:rsidRDefault="00E3289C" w:rsidP="00F30B09">
            <w:pPr>
              <w:jc w:val="both"/>
              <w:rPr>
                <w:rFonts w:ascii="Arial" w:hAnsi="Arial" w:cs="Arial"/>
                <w:color w:val="000000"/>
                <w:lang w:eastAsia="en-GB"/>
              </w:rPr>
            </w:pPr>
            <w:r w:rsidRPr="00187BBA">
              <w:rPr>
                <w:rFonts w:ascii="Arial" w:hAnsi="Arial" w:cs="Arial"/>
                <w:color w:val="000000"/>
                <w:lang w:eastAsia="en-GB"/>
              </w:rPr>
              <w:t>N/A</w:t>
            </w:r>
          </w:p>
        </w:tc>
      </w:tr>
      <w:tr w:rsidR="00E3289C" w:rsidRPr="00187BBA" w14:paraId="75B02BFC" w14:textId="77777777" w:rsidTr="00E3289C">
        <w:trPr>
          <w:trHeight w:val="262"/>
        </w:trPr>
        <w:tc>
          <w:tcPr>
            <w:tcW w:w="4226" w:type="dxa"/>
            <w:tcBorders>
              <w:top w:val="single" w:sz="8" w:space="0" w:color="auto"/>
              <w:left w:val="single" w:sz="8" w:space="0" w:color="auto"/>
              <w:bottom w:val="single" w:sz="8" w:space="0" w:color="auto"/>
              <w:right w:val="single" w:sz="8" w:space="0" w:color="auto"/>
            </w:tcBorders>
            <w:vAlign w:val="center"/>
          </w:tcPr>
          <w:p w14:paraId="58DF46B1" w14:textId="77777777" w:rsidR="00E3289C" w:rsidRPr="00187BBA" w:rsidRDefault="00E3289C" w:rsidP="00F30B09">
            <w:pPr>
              <w:jc w:val="both"/>
              <w:rPr>
                <w:rFonts w:ascii="Arial" w:hAnsi="Arial" w:cs="Arial"/>
                <w:color w:val="000000"/>
                <w:lang w:eastAsia="en-GB"/>
              </w:rPr>
            </w:pPr>
            <w:r>
              <w:rPr>
                <w:rFonts w:ascii="Arial" w:hAnsi="Arial" w:cs="Arial"/>
                <w:color w:val="000000"/>
                <w:lang w:eastAsia="en-GB"/>
              </w:rPr>
              <w:t>Finance Assistant</w:t>
            </w:r>
          </w:p>
        </w:tc>
        <w:tc>
          <w:tcPr>
            <w:tcW w:w="2153" w:type="dxa"/>
            <w:tcBorders>
              <w:top w:val="nil"/>
              <w:left w:val="nil"/>
              <w:bottom w:val="single" w:sz="8" w:space="0" w:color="auto"/>
              <w:right w:val="single" w:sz="8" w:space="0" w:color="auto"/>
            </w:tcBorders>
            <w:vAlign w:val="center"/>
          </w:tcPr>
          <w:p w14:paraId="08A7D5C9" w14:textId="77777777" w:rsidR="00E3289C" w:rsidRPr="00187BBA" w:rsidRDefault="00E3289C" w:rsidP="00F30B09">
            <w:pPr>
              <w:jc w:val="both"/>
              <w:rPr>
                <w:rFonts w:ascii="Arial" w:hAnsi="Arial" w:cs="Arial"/>
                <w:color w:val="000000"/>
                <w:lang w:eastAsia="en-GB"/>
              </w:rPr>
            </w:pPr>
            <w:r>
              <w:rPr>
                <w:rFonts w:ascii="Arial" w:hAnsi="Arial" w:cs="Arial"/>
                <w:color w:val="000000"/>
                <w:lang w:eastAsia="en-GB"/>
              </w:rPr>
              <w:t>Dealer</w:t>
            </w:r>
          </w:p>
        </w:tc>
        <w:tc>
          <w:tcPr>
            <w:tcW w:w="1984" w:type="dxa"/>
            <w:tcBorders>
              <w:top w:val="nil"/>
              <w:left w:val="nil"/>
              <w:bottom w:val="single" w:sz="8" w:space="0" w:color="auto"/>
              <w:right w:val="single" w:sz="8" w:space="0" w:color="auto"/>
            </w:tcBorders>
            <w:vAlign w:val="center"/>
          </w:tcPr>
          <w:p w14:paraId="29C13F8F" w14:textId="77777777" w:rsidR="00E3289C" w:rsidRPr="00187BBA" w:rsidRDefault="00E3289C" w:rsidP="00F30B09">
            <w:pPr>
              <w:jc w:val="both"/>
              <w:rPr>
                <w:rFonts w:ascii="Arial" w:hAnsi="Arial" w:cs="Arial"/>
                <w:color w:val="000000"/>
                <w:lang w:eastAsia="en-GB"/>
              </w:rPr>
            </w:pPr>
            <w:r>
              <w:rPr>
                <w:rFonts w:ascii="Arial" w:hAnsi="Arial" w:cs="Arial"/>
                <w:color w:val="000000"/>
                <w:lang w:eastAsia="en-GB"/>
              </w:rPr>
              <w:t>N/A</w:t>
            </w:r>
          </w:p>
        </w:tc>
      </w:tr>
    </w:tbl>
    <w:p w14:paraId="029456FD" w14:textId="77777777" w:rsidR="00E3289C" w:rsidRPr="00187BBA" w:rsidRDefault="00E3289C" w:rsidP="00F30B09">
      <w:pPr>
        <w:tabs>
          <w:tab w:val="left" w:pos="0"/>
        </w:tabs>
        <w:jc w:val="both"/>
        <w:rPr>
          <w:rFonts w:ascii="Arial" w:hAnsi="Arial" w:cs="Arial"/>
        </w:rPr>
      </w:pPr>
    </w:p>
    <w:p w14:paraId="0FD9E5E1" w14:textId="77777777" w:rsidR="00E3289C" w:rsidRPr="00E651C4" w:rsidRDefault="00E3289C" w:rsidP="008D5C31">
      <w:pPr>
        <w:keepNext/>
        <w:widowControl w:val="0"/>
        <w:numPr>
          <w:ilvl w:val="2"/>
          <w:numId w:val="19"/>
        </w:numPr>
        <w:ind w:left="709" w:hanging="709"/>
        <w:jc w:val="both"/>
        <w:rPr>
          <w:rFonts w:ascii="Arial" w:hAnsi="Arial" w:cs="Arial"/>
        </w:rPr>
      </w:pPr>
      <w:r w:rsidRPr="00E651C4">
        <w:rPr>
          <w:rFonts w:ascii="Arial" w:hAnsi="Arial" w:cs="Arial"/>
        </w:rPr>
        <w:t xml:space="preserve">There are posts in the table above which can approve and deal. Internal controls are in place to ensure an officer can either deal or approve a treasury transaction on each day and not be able to do both. </w:t>
      </w:r>
    </w:p>
    <w:p w14:paraId="3554A489" w14:textId="77777777" w:rsidR="00E3289C" w:rsidRPr="00670D64" w:rsidRDefault="00E3289C" w:rsidP="00F30B09">
      <w:pPr>
        <w:widowControl w:val="0"/>
        <w:autoSpaceDE w:val="0"/>
        <w:autoSpaceDN w:val="0"/>
        <w:adjustRightInd w:val="0"/>
        <w:spacing w:before="120"/>
        <w:jc w:val="both"/>
        <w:rPr>
          <w:rFonts w:ascii="Arial" w:hAnsi="Arial" w:cs="Arial"/>
        </w:rPr>
      </w:pPr>
    </w:p>
    <w:p w14:paraId="0B38E44E" w14:textId="77777777" w:rsidR="00E3289C" w:rsidRDefault="00E3289C" w:rsidP="00F30B09">
      <w:pPr>
        <w:jc w:val="both"/>
      </w:pPr>
    </w:p>
    <w:sectPr w:rsidR="00E32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7A6"/>
    <w:multiLevelType w:val="multilevel"/>
    <w:tmpl w:val="821CEE72"/>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A05FD8"/>
    <w:multiLevelType w:val="hybridMultilevel"/>
    <w:tmpl w:val="3C62FDFE"/>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1944E4"/>
    <w:multiLevelType w:val="hybridMultilevel"/>
    <w:tmpl w:val="2A2668EA"/>
    <w:lvl w:ilvl="0" w:tplc="0809000F">
      <w:start w:val="1"/>
      <w:numFmt w:val="decimal"/>
      <w:lvlText w:val="%1."/>
      <w:lvlJc w:val="left"/>
      <w:pPr>
        <w:ind w:left="644" w:hanging="360"/>
      </w:p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33F7B8E"/>
    <w:multiLevelType w:val="multilevel"/>
    <w:tmpl w:val="A21C8C38"/>
    <w:lvl w:ilvl="0">
      <w:start w:val="1"/>
      <w:numFmt w:val="decimal"/>
      <w:pStyle w:val="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34C785D"/>
    <w:multiLevelType w:val="hybridMultilevel"/>
    <w:tmpl w:val="F69EBC8A"/>
    <w:lvl w:ilvl="0" w:tplc="4CD6FCE2">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1FB75C66"/>
    <w:multiLevelType w:val="multilevel"/>
    <w:tmpl w:val="00FE4EAA"/>
    <w:lvl w:ilvl="0">
      <w:start w:val="8"/>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09661FA"/>
    <w:multiLevelType w:val="multilevel"/>
    <w:tmpl w:val="512A3950"/>
    <w:lvl w:ilvl="0">
      <w:start w:val="6"/>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C10884"/>
    <w:multiLevelType w:val="hybridMultilevel"/>
    <w:tmpl w:val="27321524"/>
    <w:lvl w:ilvl="0" w:tplc="C166DA24">
      <w:start w:val="1"/>
      <w:numFmt w:val="bullet"/>
      <w:lvlText w:val=""/>
      <w:lvlJc w:val="left"/>
      <w:pPr>
        <w:tabs>
          <w:tab w:val="num" w:pos="947"/>
        </w:tabs>
        <w:ind w:left="814" w:hanging="227"/>
      </w:pPr>
      <w:rPr>
        <w:rFonts w:ascii="Symbol" w:hAnsi="Symbol" w:hint="default"/>
        <w:color w:val="auto"/>
      </w:rPr>
    </w:lvl>
    <w:lvl w:ilvl="1" w:tplc="8A06832A">
      <w:start w:val="2"/>
      <w:numFmt w:val="bullet"/>
      <w:lvlText w:val="-"/>
      <w:lvlJc w:val="left"/>
      <w:pPr>
        <w:tabs>
          <w:tab w:val="num" w:pos="1667"/>
        </w:tabs>
        <w:ind w:left="1667" w:hanging="360"/>
      </w:pPr>
      <w:rPr>
        <w:rFonts w:ascii="Times New Roman" w:eastAsia="Times New Roman" w:hAnsi="Times New Roman" w:hint="default"/>
      </w:rPr>
    </w:lvl>
    <w:lvl w:ilvl="2" w:tplc="0409001B">
      <w:start w:val="1"/>
      <w:numFmt w:val="lowerRoman"/>
      <w:lvlText w:val="%3."/>
      <w:lvlJc w:val="right"/>
      <w:pPr>
        <w:tabs>
          <w:tab w:val="num" w:pos="2387"/>
        </w:tabs>
        <w:ind w:left="2387" w:hanging="180"/>
      </w:pPr>
      <w:rPr>
        <w:rFonts w:cs="Times New Roman"/>
      </w:rPr>
    </w:lvl>
    <w:lvl w:ilvl="3" w:tplc="0409000F" w:tentative="1">
      <w:start w:val="1"/>
      <w:numFmt w:val="decimal"/>
      <w:lvlText w:val="%4."/>
      <w:lvlJc w:val="left"/>
      <w:pPr>
        <w:tabs>
          <w:tab w:val="num" w:pos="3107"/>
        </w:tabs>
        <w:ind w:left="3107" w:hanging="360"/>
      </w:pPr>
      <w:rPr>
        <w:rFonts w:cs="Times New Roman"/>
      </w:rPr>
    </w:lvl>
    <w:lvl w:ilvl="4" w:tplc="04090019" w:tentative="1">
      <w:start w:val="1"/>
      <w:numFmt w:val="lowerLetter"/>
      <w:lvlText w:val="%5."/>
      <w:lvlJc w:val="left"/>
      <w:pPr>
        <w:tabs>
          <w:tab w:val="num" w:pos="3827"/>
        </w:tabs>
        <w:ind w:left="3827" w:hanging="360"/>
      </w:pPr>
      <w:rPr>
        <w:rFonts w:cs="Times New Roman"/>
      </w:rPr>
    </w:lvl>
    <w:lvl w:ilvl="5" w:tplc="0409001B" w:tentative="1">
      <w:start w:val="1"/>
      <w:numFmt w:val="lowerRoman"/>
      <w:lvlText w:val="%6."/>
      <w:lvlJc w:val="right"/>
      <w:pPr>
        <w:tabs>
          <w:tab w:val="num" w:pos="4547"/>
        </w:tabs>
        <w:ind w:left="4547" w:hanging="180"/>
      </w:pPr>
      <w:rPr>
        <w:rFonts w:cs="Times New Roman"/>
      </w:rPr>
    </w:lvl>
    <w:lvl w:ilvl="6" w:tplc="0409000F" w:tentative="1">
      <w:start w:val="1"/>
      <w:numFmt w:val="decimal"/>
      <w:lvlText w:val="%7."/>
      <w:lvlJc w:val="left"/>
      <w:pPr>
        <w:tabs>
          <w:tab w:val="num" w:pos="5267"/>
        </w:tabs>
        <w:ind w:left="5267" w:hanging="360"/>
      </w:pPr>
      <w:rPr>
        <w:rFonts w:cs="Times New Roman"/>
      </w:rPr>
    </w:lvl>
    <w:lvl w:ilvl="7" w:tplc="04090019" w:tentative="1">
      <w:start w:val="1"/>
      <w:numFmt w:val="lowerLetter"/>
      <w:lvlText w:val="%8."/>
      <w:lvlJc w:val="left"/>
      <w:pPr>
        <w:tabs>
          <w:tab w:val="num" w:pos="5987"/>
        </w:tabs>
        <w:ind w:left="5987" w:hanging="360"/>
      </w:pPr>
      <w:rPr>
        <w:rFonts w:cs="Times New Roman"/>
      </w:rPr>
    </w:lvl>
    <w:lvl w:ilvl="8" w:tplc="0409001B" w:tentative="1">
      <w:start w:val="1"/>
      <w:numFmt w:val="lowerRoman"/>
      <w:lvlText w:val="%9."/>
      <w:lvlJc w:val="right"/>
      <w:pPr>
        <w:tabs>
          <w:tab w:val="num" w:pos="6707"/>
        </w:tabs>
        <w:ind w:left="6707" w:hanging="180"/>
      </w:pPr>
      <w:rPr>
        <w:rFonts w:cs="Times New Roman"/>
      </w:rPr>
    </w:lvl>
  </w:abstractNum>
  <w:abstractNum w:abstractNumId="8" w15:restartNumberingAfterBreak="0">
    <w:nsid w:val="2A937782"/>
    <w:multiLevelType w:val="hybridMultilevel"/>
    <w:tmpl w:val="2BCA4080"/>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9" w15:restartNumberingAfterBreak="0">
    <w:nsid w:val="2AE70B21"/>
    <w:multiLevelType w:val="multilevel"/>
    <w:tmpl w:val="5DC23FD0"/>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23D32"/>
    <w:multiLevelType w:val="multilevel"/>
    <w:tmpl w:val="62E8D84E"/>
    <w:lvl w:ilvl="0">
      <w:start w:val="3"/>
      <w:numFmt w:val="decimal"/>
      <w:lvlText w:val="%1"/>
      <w:lvlJc w:val="left"/>
      <w:pPr>
        <w:ind w:left="360" w:hanging="360"/>
      </w:pPr>
      <w:rPr>
        <w:rFonts w:hint="default"/>
        <w:b/>
        <w:sz w:val="28"/>
        <w:szCs w:val="28"/>
      </w:rPr>
    </w:lvl>
    <w:lvl w:ilvl="1">
      <w:start w:val="1"/>
      <w:numFmt w:val="decimal"/>
      <w:lvlText w:val="%1.%2"/>
      <w:lvlJc w:val="left"/>
      <w:pPr>
        <w:ind w:left="720" w:hanging="720"/>
      </w:pPr>
      <w:rPr>
        <w:rFonts w:hint="default"/>
        <w:b w:val="0"/>
        <w:sz w:val="24"/>
      </w:rPr>
    </w:lvl>
    <w:lvl w:ilvl="2">
      <w:start w:val="1"/>
      <w:numFmt w:val="decimal"/>
      <w:lvlText w:val="%1.%2.%3"/>
      <w:lvlJc w:val="left"/>
      <w:pPr>
        <w:ind w:left="3555"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440" w:hanging="144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11" w15:restartNumberingAfterBreak="0">
    <w:nsid w:val="35AC47F2"/>
    <w:multiLevelType w:val="hybridMultilevel"/>
    <w:tmpl w:val="57C6D1C2"/>
    <w:lvl w:ilvl="0" w:tplc="0809000F">
      <w:start w:val="1"/>
      <w:numFmt w:val="bullet"/>
      <w:lvlText w:val=""/>
      <w:lvlJc w:val="left"/>
      <w:pPr>
        <w:tabs>
          <w:tab w:val="num" w:pos="720"/>
        </w:tabs>
        <w:ind w:left="720" w:hanging="360"/>
      </w:pPr>
      <w:rPr>
        <w:rFonts w:ascii="Symbol" w:hAnsi="Symbol" w:hint="default"/>
        <w:color w:val="auto"/>
        <w:sz w:val="18"/>
      </w:rPr>
    </w:lvl>
    <w:lvl w:ilvl="1" w:tplc="08090019">
      <w:start w:val="1"/>
      <w:numFmt w:val="bullet"/>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161011"/>
    <w:multiLevelType w:val="multilevel"/>
    <w:tmpl w:val="390A7E8A"/>
    <w:lvl w:ilvl="0">
      <w:start w:val="8"/>
      <w:numFmt w:val="decimal"/>
      <w:lvlText w:val="%1"/>
      <w:lvlJc w:val="left"/>
      <w:pPr>
        <w:ind w:left="525" w:hanging="525"/>
      </w:pPr>
      <w:rPr>
        <w:rFonts w:hint="default"/>
      </w:rPr>
    </w:lvl>
    <w:lvl w:ilvl="1">
      <w:start w:val="2"/>
      <w:numFmt w:val="decimal"/>
      <w:lvlText w:val="%1.%2"/>
      <w:lvlJc w:val="left"/>
      <w:pPr>
        <w:ind w:left="879" w:hanging="52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375C7689"/>
    <w:multiLevelType w:val="hybridMultilevel"/>
    <w:tmpl w:val="DE4825BC"/>
    <w:lvl w:ilvl="0" w:tplc="E2B86594">
      <w:start w:val="1"/>
      <w:numFmt w:val="bullet"/>
      <w:lvlText w:val=""/>
      <w:lvlJc w:val="left"/>
      <w:pPr>
        <w:tabs>
          <w:tab w:val="num" w:pos="1077"/>
        </w:tabs>
        <w:ind w:left="1077" w:hanging="360"/>
      </w:pPr>
      <w:rPr>
        <w:rFonts w:ascii="Symbol" w:hAnsi="Symbol" w:hint="default"/>
        <w:sz w:val="16"/>
        <w:szCs w:val="16"/>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4" w15:restartNumberingAfterBreak="0">
    <w:nsid w:val="3C194269"/>
    <w:multiLevelType w:val="multilevel"/>
    <w:tmpl w:val="DDE64A1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7" w:hanging="720"/>
      </w:pPr>
      <w:rPr>
        <w:rFonts w:hint="default"/>
        <w:b w:val="0"/>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441E6FAC"/>
    <w:multiLevelType w:val="hybridMultilevel"/>
    <w:tmpl w:val="B0C4C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04196"/>
    <w:multiLevelType w:val="multilevel"/>
    <w:tmpl w:val="A358FE96"/>
    <w:lvl w:ilvl="0">
      <w:start w:val="1"/>
      <w:numFmt w:val="decimal"/>
      <w:pStyle w:val="ChapterHeading"/>
      <w:lvlText w:val="%1"/>
      <w:lvlJc w:val="left"/>
      <w:pPr>
        <w:ind w:left="360" w:hanging="360"/>
      </w:pPr>
      <w:rPr>
        <w:rFonts w:cs="Times New Roman" w:hint="default"/>
        <w:b/>
        <w:color w:val="auto"/>
      </w:rPr>
    </w:lvl>
    <w:lvl w:ilvl="1">
      <w:start w:val="1"/>
      <w:numFmt w:val="decimal"/>
      <w:pStyle w:val="Subheading"/>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15:restartNumberingAfterBreak="0">
    <w:nsid w:val="46D63E1F"/>
    <w:multiLevelType w:val="multilevel"/>
    <w:tmpl w:val="F5AC5B6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val="0"/>
        <w:sz w:val="24"/>
        <w:szCs w:val="24"/>
      </w:rPr>
    </w:lvl>
    <w:lvl w:ilvl="2">
      <w:start w:val="1"/>
      <w:numFmt w:val="decimal"/>
      <w:lvlText w:val="%1.%2.%3."/>
      <w:lvlJc w:val="left"/>
      <w:pPr>
        <w:ind w:left="646" w:hanging="504"/>
      </w:pPr>
      <w:rPr>
        <w:rFonts w:ascii="Arial" w:hAnsi="Arial" w:cs="Aria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C853D32"/>
    <w:multiLevelType w:val="multilevel"/>
    <w:tmpl w:val="23E09D3E"/>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D0E2995"/>
    <w:multiLevelType w:val="multilevel"/>
    <w:tmpl w:val="19341DE0"/>
    <w:lvl w:ilvl="0">
      <w:start w:val="8"/>
      <w:numFmt w:val="decimal"/>
      <w:lvlText w:val="%1"/>
      <w:lvlJc w:val="left"/>
      <w:pPr>
        <w:ind w:left="530" w:hanging="530"/>
      </w:pPr>
      <w:rPr>
        <w:rFonts w:hint="default"/>
        <w:b/>
      </w:rPr>
    </w:lvl>
    <w:lvl w:ilvl="1">
      <w:start w:val="5"/>
      <w:numFmt w:val="decimal"/>
      <w:lvlText w:val="%1.%2"/>
      <w:lvlJc w:val="left"/>
      <w:pPr>
        <w:ind w:left="530" w:hanging="53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65652D09"/>
    <w:multiLevelType w:val="multilevel"/>
    <w:tmpl w:val="F5AC5B6A"/>
    <w:lvl w:ilvl="0">
      <w:start w:val="1"/>
      <w:numFmt w:val="decimal"/>
      <w:lvlText w:val="%1."/>
      <w:lvlJc w:val="left"/>
      <w:pPr>
        <w:ind w:left="720" w:hanging="360"/>
      </w:pPr>
      <w:rPr>
        <w:rFonts w:hint="default"/>
      </w:rPr>
    </w:lvl>
    <w:lvl w:ilvl="1">
      <w:start w:val="1"/>
      <w:numFmt w:val="bullet"/>
      <w:lvlText w:val=""/>
      <w:lvlJc w:val="left"/>
      <w:pPr>
        <w:ind w:left="1152" w:hanging="432"/>
      </w:pPr>
      <w:rPr>
        <w:rFonts w:ascii="Symbol" w:hAnsi="Symbol" w:hint="default"/>
        <w:b w:val="0"/>
        <w:sz w:val="24"/>
        <w:szCs w:val="24"/>
      </w:rPr>
    </w:lvl>
    <w:lvl w:ilvl="2">
      <w:start w:val="1"/>
      <w:numFmt w:val="decimal"/>
      <w:lvlText w:val="%1.%2.%3."/>
      <w:lvlJc w:val="left"/>
      <w:pPr>
        <w:ind w:left="1006" w:hanging="504"/>
      </w:pPr>
      <w:rPr>
        <w:rFonts w:ascii="Arial" w:hAnsi="Arial" w:cs="Arial" w:hint="default"/>
        <w:b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67ED3BC6"/>
    <w:multiLevelType w:val="hybridMultilevel"/>
    <w:tmpl w:val="A5927CEC"/>
    <w:lvl w:ilvl="0" w:tplc="08090001">
      <w:start w:val="1"/>
      <w:numFmt w:val="bullet"/>
      <w:lvlText w:val=""/>
      <w:lvlJc w:val="left"/>
      <w:pPr>
        <w:ind w:left="742" w:hanging="360"/>
      </w:pPr>
      <w:rPr>
        <w:rFonts w:ascii="Symbol" w:hAnsi="Symbol" w:hint="default"/>
      </w:rPr>
    </w:lvl>
    <w:lvl w:ilvl="1" w:tplc="08090003">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2" w15:restartNumberingAfterBreak="0">
    <w:nsid w:val="69193F81"/>
    <w:multiLevelType w:val="hybridMultilevel"/>
    <w:tmpl w:val="3F48359C"/>
    <w:lvl w:ilvl="0" w:tplc="2B409DB4">
      <w:start w:val="1"/>
      <w:numFmt w:val="bullet"/>
      <w:lvlText w:val=""/>
      <w:lvlJc w:val="left"/>
      <w:pPr>
        <w:tabs>
          <w:tab w:val="num" w:pos="720"/>
        </w:tabs>
        <w:ind w:left="72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43457"/>
    <w:multiLevelType w:val="hybridMultilevel"/>
    <w:tmpl w:val="7B640FB6"/>
    <w:lvl w:ilvl="0" w:tplc="4E768966">
      <w:start w:val="3"/>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6C4B4A09"/>
    <w:multiLevelType w:val="hybridMultilevel"/>
    <w:tmpl w:val="E0E0A5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6D38E2"/>
    <w:multiLevelType w:val="hybridMultilevel"/>
    <w:tmpl w:val="95F43DF6"/>
    <w:lvl w:ilvl="0" w:tplc="1786EAEE">
      <w:start w:val="1"/>
      <w:numFmt w:val="bullet"/>
      <w:lvlText w:val=""/>
      <w:lvlJc w:val="left"/>
      <w:pPr>
        <w:tabs>
          <w:tab w:val="num" w:pos="630"/>
        </w:tabs>
        <w:ind w:left="630" w:hanging="360"/>
      </w:pPr>
      <w:rPr>
        <w:rFonts w:ascii="Symbol" w:hAnsi="Symbol" w:hint="default"/>
      </w:rPr>
    </w:lvl>
    <w:lvl w:ilvl="1" w:tplc="FFFFFFFF">
      <w:start w:val="9"/>
      <w:numFmt w:val="decimal"/>
      <w:lvlText w:val="%2."/>
      <w:lvlJc w:val="left"/>
      <w:pPr>
        <w:tabs>
          <w:tab w:val="num" w:pos="1425"/>
        </w:tabs>
        <w:ind w:left="1425" w:hanging="435"/>
      </w:pPr>
      <w:rPr>
        <w:rFonts w:hint="default"/>
      </w:rPr>
    </w:lvl>
    <w:lvl w:ilvl="2" w:tplc="FFFFFFFF">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26" w15:restartNumberingAfterBreak="0">
    <w:nsid w:val="6F2407C5"/>
    <w:multiLevelType w:val="multilevel"/>
    <w:tmpl w:val="8116BE64"/>
    <w:lvl w:ilvl="0">
      <w:start w:val="1"/>
      <w:numFmt w:val="decimal"/>
      <w:lvlText w:val="%1"/>
      <w:lvlJc w:val="left"/>
      <w:pPr>
        <w:ind w:left="720" w:hanging="360"/>
      </w:pPr>
      <w:rPr>
        <w:rFonts w:hint="default"/>
        <w:b/>
      </w:rPr>
    </w:lvl>
    <w:lvl w:ilvl="1">
      <w:start w:val="1"/>
      <w:numFmt w:val="decimal"/>
      <w:isLgl/>
      <w:lvlText w:val="%1.%2"/>
      <w:lvlJc w:val="left"/>
      <w:pPr>
        <w:ind w:left="1059" w:hanging="525"/>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27" w15:restartNumberingAfterBreak="0">
    <w:nsid w:val="6F5E325A"/>
    <w:multiLevelType w:val="multilevel"/>
    <w:tmpl w:val="CD4444FA"/>
    <w:lvl w:ilvl="0">
      <w:start w:val="8"/>
      <w:numFmt w:val="decimal"/>
      <w:lvlText w:val="%1"/>
      <w:lvlJc w:val="left"/>
      <w:pPr>
        <w:ind w:left="525" w:hanging="525"/>
      </w:pPr>
      <w:rPr>
        <w:rFonts w:hint="default"/>
      </w:rPr>
    </w:lvl>
    <w:lvl w:ilvl="1">
      <w:start w:val="2"/>
      <w:numFmt w:val="decimal"/>
      <w:lvlText w:val="%1.%2"/>
      <w:lvlJc w:val="left"/>
      <w:pPr>
        <w:ind w:left="879" w:hanging="52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6FAA1771"/>
    <w:multiLevelType w:val="hybridMultilevel"/>
    <w:tmpl w:val="F28C9166"/>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29" w15:restartNumberingAfterBreak="0">
    <w:nsid w:val="6FAF5DE9"/>
    <w:multiLevelType w:val="hybridMultilevel"/>
    <w:tmpl w:val="12D4BFBE"/>
    <w:lvl w:ilvl="0" w:tplc="6C58D8E0">
      <w:start w:val="1"/>
      <w:numFmt w:val="bullet"/>
      <w:lvlText w:val=""/>
      <w:lvlJc w:val="left"/>
      <w:pPr>
        <w:tabs>
          <w:tab w:val="num" w:pos="1009"/>
        </w:tabs>
        <w:ind w:left="1009" w:hanging="360"/>
      </w:pPr>
      <w:rPr>
        <w:rFonts w:ascii="Symbol" w:hAnsi="Symbol" w:hint="default"/>
        <w:sz w:val="18"/>
        <w:szCs w:val="18"/>
      </w:rPr>
    </w:lvl>
    <w:lvl w:ilvl="1" w:tplc="04090003" w:tentative="1">
      <w:start w:val="1"/>
      <w:numFmt w:val="bullet"/>
      <w:lvlText w:val="o"/>
      <w:lvlJc w:val="left"/>
      <w:pPr>
        <w:tabs>
          <w:tab w:val="num" w:pos="1729"/>
        </w:tabs>
        <w:ind w:left="1729" w:hanging="360"/>
      </w:pPr>
      <w:rPr>
        <w:rFonts w:ascii="Courier New" w:hAnsi="Courier New" w:cs="Courier New" w:hint="default"/>
      </w:rPr>
    </w:lvl>
    <w:lvl w:ilvl="2" w:tplc="04090005" w:tentative="1">
      <w:start w:val="1"/>
      <w:numFmt w:val="bullet"/>
      <w:lvlText w:val=""/>
      <w:lvlJc w:val="left"/>
      <w:pPr>
        <w:tabs>
          <w:tab w:val="num" w:pos="2449"/>
        </w:tabs>
        <w:ind w:left="2449" w:hanging="360"/>
      </w:pPr>
      <w:rPr>
        <w:rFonts w:ascii="Wingdings" w:hAnsi="Wingdings" w:hint="default"/>
      </w:rPr>
    </w:lvl>
    <w:lvl w:ilvl="3" w:tplc="04090001" w:tentative="1">
      <w:start w:val="1"/>
      <w:numFmt w:val="bullet"/>
      <w:lvlText w:val=""/>
      <w:lvlJc w:val="left"/>
      <w:pPr>
        <w:tabs>
          <w:tab w:val="num" w:pos="3169"/>
        </w:tabs>
        <w:ind w:left="3169" w:hanging="360"/>
      </w:pPr>
      <w:rPr>
        <w:rFonts w:ascii="Symbol" w:hAnsi="Symbol" w:hint="default"/>
      </w:rPr>
    </w:lvl>
    <w:lvl w:ilvl="4" w:tplc="04090003" w:tentative="1">
      <w:start w:val="1"/>
      <w:numFmt w:val="bullet"/>
      <w:lvlText w:val="o"/>
      <w:lvlJc w:val="left"/>
      <w:pPr>
        <w:tabs>
          <w:tab w:val="num" w:pos="3889"/>
        </w:tabs>
        <w:ind w:left="3889" w:hanging="360"/>
      </w:pPr>
      <w:rPr>
        <w:rFonts w:ascii="Courier New" w:hAnsi="Courier New" w:cs="Courier New" w:hint="default"/>
      </w:rPr>
    </w:lvl>
    <w:lvl w:ilvl="5" w:tplc="04090005" w:tentative="1">
      <w:start w:val="1"/>
      <w:numFmt w:val="bullet"/>
      <w:lvlText w:val=""/>
      <w:lvlJc w:val="left"/>
      <w:pPr>
        <w:tabs>
          <w:tab w:val="num" w:pos="4609"/>
        </w:tabs>
        <w:ind w:left="4609" w:hanging="360"/>
      </w:pPr>
      <w:rPr>
        <w:rFonts w:ascii="Wingdings" w:hAnsi="Wingdings" w:hint="default"/>
      </w:rPr>
    </w:lvl>
    <w:lvl w:ilvl="6" w:tplc="04090001" w:tentative="1">
      <w:start w:val="1"/>
      <w:numFmt w:val="bullet"/>
      <w:lvlText w:val=""/>
      <w:lvlJc w:val="left"/>
      <w:pPr>
        <w:tabs>
          <w:tab w:val="num" w:pos="5329"/>
        </w:tabs>
        <w:ind w:left="5329" w:hanging="360"/>
      </w:pPr>
      <w:rPr>
        <w:rFonts w:ascii="Symbol" w:hAnsi="Symbol" w:hint="default"/>
      </w:rPr>
    </w:lvl>
    <w:lvl w:ilvl="7" w:tplc="04090003" w:tentative="1">
      <w:start w:val="1"/>
      <w:numFmt w:val="bullet"/>
      <w:lvlText w:val="o"/>
      <w:lvlJc w:val="left"/>
      <w:pPr>
        <w:tabs>
          <w:tab w:val="num" w:pos="6049"/>
        </w:tabs>
        <w:ind w:left="6049" w:hanging="360"/>
      </w:pPr>
      <w:rPr>
        <w:rFonts w:ascii="Courier New" w:hAnsi="Courier New" w:cs="Courier New" w:hint="default"/>
      </w:rPr>
    </w:lvl>
    <w:lvl w:ilvl="8" w:tplc="04090005" w:tentative="1">
      <w:start w:val="1"/>
      <w:numFmt w:val="bullet"/>
      <w:lvlText w:val=""/>
      <w:lvlJc w:val="left"/>
      <w:pPr>
        <w:tabs>
          <w:tab w:val="num" w:pos="6769"/>
        </w:tabs>
        <w:ind w:left="6769" w:hanging="360"/>
      </w:pPr>
      <w:rPr>
        <w:rFonts w:ascii="Wingdings" w:hAnsi="Wingdings" w:hint="default"/>
      </w:rPr>
    </w:lvl>
  </w:abstractNum>
  <w:abstractNum w:abstractNumId="30" w15:restartNumberingAfterBreak="0">
    <w:nsid w:val="6FFE3C14"/>
    <w:multiLevelType w:val="multilevel"/>
    <w:tmpl w:val="244011D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3513FC8"/>
    <w:multiLevelType w:val="hybridMultilevel"/>
    <w:tmpl w:val="3C5E357A"/>
    <w:lvl w:ilvl="0" w:tplc="08090001">
      <w:start w:val="1"/>
      <w:numFmt w:val="bullet"/>
      <w:lvlText w:val=""/>
      <w:lvlJc w:val="left"/>
      <w:pPr>
        <w:ind w:left="1383" w:hanging="360"/>
      </w:pPr>
      <w:rPr>
        <w:rFonts w:ascii="Symbol" w:hAnsi="Symbol" w:hint="default"/>
      </w:rPr>
    </w:lvl>
    <w:lvl w:ilvl="1" w:tplc="08090003" w:tentative="1">
      <w:start w:val="1"/>
      <w:numFmt w:val="bullet"/>
      <w:lvlText w:val="o"/>
      <w:lvlJc w:val="left"/>
      <w:pPr>
        <w:ind w:left="2103" w:hanging="360"/>
      </w:pPr>
      <w:rPr>
        <w:rFonts w:ascii="Courier New" w:hAnsi="Courier New" w:cs="Courier New" w:hint="default"/>
      </w:rPr>
    </w:lvl>
    <w:lvl w:ilvl="2" w:tplc="08090005" w:tentative="1">
      <w:start w:val="1"/>
      <w:numFmt w:val="bullet"/>
      <w:lvlText w:val=""/>
      <w:lvlJc w:val="left"/>
      <w:pPr>
        <w:ind w:left="2823" w:hanging="360"/>
      </w:pPr>
      <w:rPr>
        <w:rFonts w:ascii="Wingdings" w:hAnsi="Wingdings" w:hint="default"/>
      </w:rPr>
    </w:lvl>
    <w:lvl w:ilvl="3" w:tplc="08090001" w:tentative="1">
      <w:start w:val="1"/>
      <w:numFmt w:val="bullet"/>
      <w:lvlText w:val=""/>
      <w:lvlJc w:val="left"/>
      <w:pPr>
        <w:ind w:left="3543" w:hanging="360"/>
      </w:pPr>
      <w:rPr>
        <w:rFonts w:ascii="Symbol" w:hAnsi="Symbol" w:hint="default"/>
      </w:rPr>
    </w:lvl>
    <w:lvl w:ilvl="4" w:tplc="08090003" w:tentative="1">
      <w:start w:val="1"/>
      <w:numFmt w:val="bullet"/>
      <w:lvlText w:val="o"/>
      <w:lvlJc w:val="left"/>
      <w:pPr>
        <w:ind w:left="4263" w:hanging="360"/>
      </w:pPr>
      <w:rPr>
        <w:rFonts w:ascii="Courier New" w:hAnsi="Courier New" w:cs="Courier New" w:hint="default"/>
      </w:rPr>
    </w:lvl>
    <w:lvl w:ilvl="5" w:tplc="08090005" w:tentative="1">
      <w:start w:val="1"/>
      <w:numFmt w:val="bullet"/>
      <w:lvlText w:val=""/>
      <w:lvlJc w:val="left"/>
      <w:pPr>
        <w:ind w:left="4983" w:hanging="360"/>
      </w:pPr>
      <w:rPr>
        <w:rFonts w:ascii="Wingdings" w:hAnsi="Wingdings" w:hint="default"/>
      </w:rPr>
    </w:lvl>
    <w:lvl w:ilvl="6" w:tplc="08090001" w:tentative="1">
      <w:start w:val="1"/>
      <w:numFmt w:val="bullet"/>
      <w:lvlText w:val=""/>
      <w:lvlJc w:val="left"/>
      <w:pPr>
        <w:ind w:left="5703" w:hanging="360"/>
      </w:pPr>
      <w:rPr>
        <w:rFonts w:ascii="Symbol" w:hAnsi="Symbol" w:hint="default"/>
      </w:rPr>
    </w:lvl>
    <w:lvl w:ilvl="7" w:tplc="08090003" w:tentative="1">
      <w:start w:val="1"/>
      <w:numFmt w:val="bullet"/>
      <w:lvlText w:val="o"/>
      <w:lvlJc w:val="left"/>
      <w:pPr>
        <w:ind w:left="6423" w:hanging="360"/>
      </w:pPr>
      <w:rPr>
        <w:rFonts w:ascii="Courier New" w:hAnsi="Courier New" w:cs="Courier New" w:hint="default"/>
      </w:rPr>
    </w:lvl>
    <w:lvl w:ilvl="8" w:tplc="08090005" w:tentative="1">
      <w:start w:val="1"/>
      <w:numFmt w:val="bullet"/>
      <w:lvlText w:val=""/>
      <w:lvlJc w:val="left"/>
      <w:pPr>
        <w:ind w:left="7143" w:hanging="360"/>
      </w:pPr>
      <w:rPr>
        <w:rFonts w:ascii="Wingdings" w:hAnsi="Wingdings" w:hint="default"/>
      </w:rPr>
    </w:lvl>
  </w:abstractNum>
  <w:abstractNum w:abstractNumId="32" w15:restartNumberingAfterBreak="0">
    <w:nsid w:val="77A537D7"/>
    <w:multiLevelType w:val="multilevel"/>
    <w:tmpl w:val="4FB09DBC"/>
    <w:lvl w:ilvl="0">
      <w:start w:val="1"/>
      <w:numFmt w:val="decimal"/>
      <w:lvlText w:val="%1"/>
      <w:lvlJc w:val="left"/>
      <w:pPr>
        <w:ind w:left="360" w:hanging="360"/>
      </w:pPr>
      <w:rPr>
        <w:rFonts w:hint="default"/>
        <w:b/>
        <w:sz w:val="28"/>
        <w:szCs w:val="28"/>
      </w:rPr>
    </w:lvl>
    <w:lvl w:ilvl="1">
      <w:start w:val="1"/>
      <w:numFmt w:val="decimal"/>
      <w:lvlText w:val="%1.%2"/>
      <w:lvlJc w:val="left"/>
      <w:pPr>
        <w:ind w:left="573" w:hanging="432"/>
      </w:pPr>
      <w:rPr>
        <w:rFonts w:ascii="Arial" w:hAnsi="Arial" w:cs="Arial" w:hint="default"/>
        <w:b w:val="0"/>
        <w:sz w:val="24"/>
        <w:szCs w:val="24"/>
      </w:rPr>
    </w:lvl>
    <w:lvl w:ilvl="2">
      <w:start w:val="1"/>
      <w:numFmt w:val="decimal"/>
      <w:lvlText w:val="%1.%2.%3"/>
      <w:lvlJc w:val="left"/>
      <w:pPr>
        <w:ind w:left="788" w:hanging="504"/>
      </w:pPr>
      <w:rPr>
        <w:rFonts w:ascii="Arial" w:hAnsi="Arial" w:cs="Aria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8770B6"/>
    <w:multiLevelType w:val="hybridMultilevel"/>
    <w:tmpl w:val="52CA5E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6D135E"/>
    <w:multiLevelType w:val="hybridMultilevel"/>
    <w:tmpl w:val="0E122346"/>
    <w:lvl w:ilvl="0" w:tplc="0809000F">
      <w:start w:val="1"/>
      <w:numFmt w:val="decimal"/>
      <w:lvlText w:val="%1."/>
      <w:lvlJc w:val="left"/>
      <w:pPr>
        <w:ind w:left="644"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5" w15:restartNumberingAfterBreak="0">
    <w:nsid w:val="7DE80CB6"/>
    <w:multiLevelType w:val="hybridMultilevel"/>
    <w:tmpl w:val="09905054"/>
    <w:lvl w:ilvl="0" w:tplc="04090003">
      <w:start w:val="1"/>
      <w:numFmt w:val="lowerLetter"/>
      <w:lvlText w:val="%1."/>
      <w:lvlJc w:val="left"/>
      <w:pPr>
        <w:ind w:left="1200" w:hanging="360"/>
      </w:pPr>
      <w:rPr>
        <w:rFonts w:cs="Times New Roman"/>
        <w:color w:val="auto"/>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num w:numId="1" w16cid:durableId="1091240423">
    <w:abstractNumId w:val="25"/>
  </w:num>
  <w:num w:numId="2" w16cid:durableId="1042482419">
    <w:abstractNumId w:val="29"/>
  </w:num>
  <w:num w:numId="3" w16cid:durableId="1599557726">
    <w:abstractNumId w:val="22"/>
  </w:num>
  <w:num w:numId="4" w16cid:durableId="1259094058">
    <w:abstractNumId w:val="13"/>
  </w:num>
  <w:num w:numId="5" w16cid:durableId="1535727225">
    <w:abstractNumId w:val="16"/>
  </w:num>
  <w:num w:numId="6" w16cid:durableId="289867320">
    <w:abstractNumId w:val="32"/>
  </w:num>
  <w:num w:numId="7" w16cid:durableId="1605729486">
    <w:abstractNumId w:val="7"/>
  </w:num>
  <w:num w:numId="8" w16cid:durableId="1476337584">
    <w:abstractNumId w:val="3"/>
  </w:num>
  <w:num w:numId="9" w16cid:durableId="1420911369">
    <w:abstractNumId w:val="33"/>
  </w:num>
  <w:num w:numId="10" w16cid:durableId="988362098">
    <w:abstractNumId w:val="26"/>
  </w:num>
  <w:num w:numId="11" w16cid:durableId="1634867449">
    <w:abstractNumId w:val="11"/>
  </w:num>
  <w:num w:numId="12" w16cid:durableId="1128664626">
    <w:abstractNumId w:val="17"/>
  </w:num>
  <w:num w:numId="13" w16cid:durableId="4288331">
    <w:abstractNumId w:val="4"/>
  </w:num>
  <w:num w:numId="14" w16cid:durableId="16543464">
    <w:abstractNumId w:val="8"/>
  </w:num>
  <w:num w:numId="15" w16cid:durableId="403186936">
    <w:abstractNumId w:val="23"/>
  </w:num>
  <w:num w:numId="16" w16cid:durableId="2137872492">
    <w:abstractNumId w:val="31"/>
  </w:num>
  <w:num w:numId="17" w16cid:durableId="655259130">
    <w:abstractNumId w:val="28"/>
  </w:num>
  <w:num w:numId="18" w16cid:durableId="2029403808">
    <w:abstractNumId w:val="35"/>
  </w:num>
  <w:num w:numId="19" w16cid:durableId="1986934669">
    <w:abstractNumId w:val="14"/>
  </w:num>
  <w:num w:numId="20" w16cid:durableId="61418140">
    <w:abstractNumId w:val="10"/>
  </w:num>
  <w:num w:numId="21" w16cid:durableId="1221819245">
    <w:abstractNumId w:val="15"/>
  </w:num>
  <w:num w:numId="22" w16cid:durableId="1732652202">
    <w:abstractNumId w:val="1"/>
  </w:num>
  <w:num w:numId="23" w16cid:durableId="1939213152">
    <w:abstractNumId w:val="20"/>
  </w:num>
  <w:num w:numId="24" w16cid:durableId="363991942">
    <w:abstractNumId w:val="21"/>
  </w:num>
  <w:num w:numId="25" w16cid:durableId="1988123546">
    <w:abstractNumId w:val="24"/>
  </w:num>
  <w:num w:numId="26" w16cid:durableId="8635928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2677123">
    <w:abstractNumId w:val="19"/>
  </w:num>
  <w:num w:numId="28" w16cid:durableId="2105959487">
    <w:abstractNumId w:val="30"/>
  </w:num>
  <w:num w:numId="29" w16cid:durableId="2011910177">
    <w:abstractNumId w:val="0"/>
  </w:num>
  <w:num w:numId="30" w16cid:durableId="496922904">
    <w:abstractNumId w:val="18"/>
  </w:num>
  <w:num w:numId="31" w16cid:durableId="465197176">
    <w:abstractNumId w:val="9"/>
  </w:num>
  <w:num w:numId="32" w16cid:durableId="742871599">
    <w:abstractNumId w:val="6"/>
  </w:num>
  <w:num w:numId="33" w16cid:durableId="609817605">
    <w:abstractNumId w:val="5"/>
  </w:num>
  <w:num w:numId="34" w16cid:durableId="260795650">
    <w:abstractNumId w:val="12"/>
  </w:num>
  <w:num w:numId="35" w16cid:durableId="192302294">
    <w:abstractNumId w:val="27"/>
  </w:num>
  <w:num w:numId="36" w16cid:durableId="1295058897">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89C"/>
    <w:rsid w:val="00025FA2"/>
    <w:rsid w:val="00073EF9"/>
    <w:rsid w:val="00082440"/>
    <w:rsid w:val="000B19CE"/>
    <w:rsid w:val="00193069"/>
    <w:rsid w:val="00212078"/>
    <w:rsid w:val="00226735"/>
    <w:rsid w:val="0026558B"/>
    <w:rsid w:val="002A1768"/>
    <w:rsid w:val="002A7C9B"/>
    <w:rsid w:val="002B151A"/>
    <w:rsid w:val="002C0F8C"/>
    <w:rsid w:val="0030458A"/>
    <w:rsid w:val="0044279E"/>
    <w:rsid w:val="004607AA"/>
    <w:rsid w:val="005052BE"/>
    <w:rsid w:val="0056546A"/>
    <w:rsid w:val="005D07FA"/>
    <w:rsid w:val="005D1B45"/>
    <w:rsid w:val="005E338A"/>
    <w:rsid w:val="006727B7"/>
    <w:rsid w:val="0071429A"/>
    <w:rsid w:val="00761DA8"/>
    <w:rsid w:val="007D71F3"/>
    <w:rsid w:val="0084004D"/>
    <w:rsid w:val="008C15AE"/>
    <w:rsid w:val="008D5C31"/>
    <w:rsid w:val="00976AAD"/>
    <w:rsid w:val="009B20E6"/>
    <w:rsid w:val="00A30146"/>
    <w:rsid w:val="00AB280F"/>
    <w:rsid w:val="00AF217F"/>
    <w:rsid w:val="00B02DC2"/>
    <w:rsid w:val="00B4303B"/>
    <w:rsid w:val="00C33790"/>
    <w:rsid w:val="00C7655F"/>
    <w:rsid w:val="00C96B91"/>
    <w:rsid w:val="00CF17B4"/>
    <w:rsid w:val="00D60EFC"/>
    <w:rsid w:val="00D70269"/>
    <w:rsid w:val="00DE7EF8"/>
    <w:rsid w:val="00DF4A60"/>
    <w:rsid w:val="00E3289C"/>
    <w:rsid w:val="00F30B09"/>
    <w:rsid w:val="00F97F6F"/>
    <w:rsid w:val="00FB3534"/>
    <w:rsid w:val="00FB6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54B5"/>
  <w15:chartTrackingRefBased/>
  <w15:docId w15:val="{2EE4855E-E156-415B-8413-3A2003A21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89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3289C"/>
    <w:pPr>
      <w:keepNext/>
      <w:ind w:left="4860"/>
      <w:outlineLvl w:val="0"/>
    </w:pPr>
    <w:rPr>
      <w:rFonts w:ascii="Arial" w:hAnsi="Arial" w:cs="Arial"/>
      <w:b/>
      <w:color w:val="003366"/>
      <w:sz w:val="72"/>
      <w:szCs w:val="72"/>
    </w:rPr>
  </w:style>
  <w:style w:type="paragraph" w:styleId="Heading2">
    <w:name w:val="heading 2"/>
    <w:basedOn w:val="Normal"/>
    <w:next w:val="Normal"/>
    <w:link w:val="Heading2Char"/>
    <w:qFormat/>
    <w:rsid w:val="00E3289C"/>
    <w:pPr>
      <w:keepNext/>
      <w:outlineLvl w:val="1"/>
    </w:pPr>
    <w:rPr>
      <w:rFonts w:ascii="Arial" w:hAnsi="Arial" w:cs="Arial"/>
      <w:bCs/>
      <w:color w:val="003366"/>
      <w:sz w:val="28"/>
    </w:rPr>
  </w:style>
  <w:style w:type="paragraph" w:styleId="Heading3">
    <w:name w:val="heading 3"/>
    <w:basedOn w:val="Normal"/>
    <w:next w:val="Normal"/>
    <w:link w:val="Heading3Char"/>
    <w:qFormat/>
    <w:rsid w:val="00E3289C"/>
    <w:pPr>
      <w:keepNext/>
      <w:numPr>
        <w:ilvl w:val="12"/>
      </w:numPr>
      <w:jc w:val="both"/>
      <w:outlineLvl w:val="2"/>
    </w:pPr>
    <w:rPr>
      <w:rFonts w:ascii="Arial" w:hAnsi="Arial" w:cs="Arial"/>
      <w:b/>
      <w:i/>
      <w:color w:val="003366"/>
    </w:rPr>
  </w:style>
  <w:style w:type="paragraph" w:styleId="Heading4">
    <w:name w:val="heading 4"/>
    <w:basedOn w:val="Normal"/>
    <w:next w:val="Normal"/>
    <w:link w:val="Heading4Char"/>
    <w:qFormat/>
    <w:rsid w:val="00E3289C"/>
    <w:pPr>
      <w:keepNext/>
      <w:ind w:left="720"/>
      <w:jc w:val="both"/>
      <w:outlineLvl w:val="3"/>
    </w:pPr>
    <w:rPr>
      <w:rFonts w:ascii="Arial" w:hAnsi="Arial" w:cs="Arial"/>
      <w:b/>
      <w:color w:val="003366"/>
      <w:u w:val="single"/>
    </w:rPr>
  </w:style>
  <w:style w:type="paragraph" w:styleId="Heading5">
    <w:name w:val="heading 5"/>
    <w:basedOn w:val="Normal"/>
    <w:next w:val="Normal"/>
    <w:link w:val="Heading5Char"/>
    <w:qFormat/>
    <w:rsid w:val="00E3289C"/>
    <w:pPr>
      <w:keepNext/>
      <w:jc w:val="both"/>
      <w:outlineLvl w:val="4"/>
    </w:pPr>
    <w:rPr>
      <w:rFonts w:ascii="Arial" w:hAnsi="Arial" w:cs="Arial"/>
      <w:b/>
      <w:color w:val="FFFFFF"/>
    </w:rPr>
  </w:style>
  <w:style w:type="paragraph" w:styleId="Heading6">
    <w:name w:val="heading 6"/>
    <w:basedOn w:val="Normal"/>
    <w:next w:val="Normal"/>
    <w:link w:val="Heading6Char"/>
    <w:qFormat/>
    <w:rsid w:val="00E3289C"/>
    <w:pPr>
      <w:keepNext/>
      <w:ind w:left="360" w:right="96"/>
      <w:outlineLvl w:val="5"/>
    </w:pPr>
    <w:rPr>
      <w:rFonts w:ascii="Arial" w:hAnsi="Arial" w:cs="Arial"/>
      <w:bCs/>
      <w:color w:val="003366"/>
      <w:u w:val="single"/>
    </w:rPr>
  </w:style>
  <w:style w:type="paragraph" w:styleId="Heading7">
    <w:name w:val="heading 7"/>
    <w:basedOn w:val="Normal"/>
    <w:next w:val="Normal"/>
    <w:link w:val="Heading7Char"/>
    <w:qFormat/>
    <w:rsid w:val="00E3289C"/>
    <w:pPr>
      <w:keepNext/>
      <w:ind w:left="720"/>
      <w:jc w:val="both"/>
      <w:outlineLvl w:val="6"/>
    </w:pPr>
    <w:rPr>
      <w:rFonts w:ascii="Arial" w:hAnsi="Arial" w:cs="Arial"/>
      <w:b/>
      <w:i/>
      <w:iCs/>
      <w:color w:val="003366"/>
      <w:u w:val="single"/>
    </w:rPr>
  </w:style>
  <w:style w:type="paragraph" w:styleId="Heading8">
    <w:name w:val="heading 8"/>
    <w:basedOn w:val="Normal"/>
    <w:next w:val="Normal"/>
    <w:link w:val="Heading8Char"/>
    <w:qFormat/>
    <w:rsid w:val="00E3289C"/>
    <w:pPr>
      <w:keepNext/>
      <w:tabs>
        <w:tab w:val="left" w:pos="0"/>
      </w:tabs>
      <w:ind w:right="96"/>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89C"/>
    <w:rPr>
      <w:rFonts w:ascii="Arial" w:eastAsia="Times New Roman" w:hAnsi="Arial" w:cs="Arial"/>
      <w:b/>
      <w:color w:val="003366"/>
      <w:sz w:val="72"/>
      <w:szCs w:val="72"/>
    </w:rPr>
  </w:style>
  <w:style w:type="character" w:customStyle="1" w:styleId="Heading2Char">
    <w:name w:val="Heading 2 Char"/>
    <w:basedOn w:val="DefaultParagraphFont"/>
    <w:link w:val="Heading2"/>
    <w:rsid w:val="00E3289C"/>
    <w:rPr>
      <w:rFonts w:ascii="Arial" w:eastAsia="Times New Roman" w:hAnsi="Arial" w:cs="Arial"/>
      <w:bCs/>
      <w:color w:val="003366"/>
      <w:sz w:val="28"/>
      <w:szCs w:val="24"/>
    </w:rPr>
  </w:style>
  <w:style w:type="character" w:customStyle="1" w:styleId="Heading3Char">
    <w:name w:val="Heading 3 Char"/>
    <w:basedOn w:val="DefaultParagraphFont"/>
    <w:link w:val="Heading3"/>
    <w:rsid w:val="00E3289C"/>
    <w:rPr>
      <w:rFonts w:ascii="Arial" w:eastAsia="Times New Roman" w:hAnsi="Arial" w:cs="Arial"/>
      <w:b/>
      <w:i/>
      <w:color w:val="003366"/>
      <w:sz w:val="24"/>
      <w:szCs w:val="24"/>
    </w:rPr>
  </w:style>
  <w:style w:type="character" w:customStyle="1" w:styleId="Heading4Char">
    <w:name w:val="Heading 4 Char"/>
    <w:basedOn w:val="DefaultParagraphFont"/>
    <w:link w:val="Heading4"/>
    <w:rsid w:val="00E3289C"/>
    <w:rPr>
      <w:rFonts w:ascii="Arial" w:eastAsia="Times New Roman" w:hAnsi="Arial" w:cs="Arial"/>
      <w:b/>
      <w:color w:val="003366"/>
      <w:sz w:val="24"/>
      <w:szCs w:val="24"/>
      <w:u w:val="single"/>
    </w:rPr>
  </w:style>
  <w:style w:type="character" w:customStyle="1" w:styleId="Heading5Char">
    <w:name w:val="Heading 5 Char"/>
    <w:basedOn w:val="DefaultParagraphFont"/>
    <w:link w:val="Heading5"/>
    <w:rsid w:val="00E3289C"/>
    <w:rPr>
      <w:rFonts w:ascii="Arial" w:eastAsia="Times New Roman" w:hAnsi="Arial" w:cs="Arial"/>
      <w:b/>
      <w:color w:val="FFFFFF"/>
      <w:sz w:val="24"/>
      <w:szCs w:val="24"/>
    </w:rPr>
  </w:style>
  <w:style w:type="character" w:customStyle="1" w:styleId="Heading6Char">
    <w:name w:val="Heading 6 Char"/>
    <w:basedOn w:val="DefaultParagraphFont"/>
    <w:link w:val="Heading6"/>
    <w:rsid w:val="00E3289C"/>
    <w:rPr>
      <w:rFonts w:ascii="Arial" w:eastAsia="Times New Roman" w:hAnsi="Arial" w:cs="Arial"/>
      <w:bCs/>
      <w:color w:val="003366"/>
      <w:sz w:val="24"/>
      <w:szCs w:val="24"/>
      <w:u w:val="single"/>
    </w:rPr>
  </w:style>
  <w:style w:type="character" w:customStyle="1" w:styleId="Heading7Char">
    <w:name w:val="Heading 7 Char"/>
    <w:basedOn w:val="DefaultParagraphFont"/>
    <w:link w:val="Heading7"/>
    <w:rsid w:val="00E3289C"/>
    <w:rPr>
      <w:rFonts w:ascii="Arial" w:eastAsia="Times New Roman" w:hAnsi="Arial" w:cs="Arial"/>
      <w:b/>
      <w:i/>
      <w:iCs/>
      <w:color w:val="003366"/>
      <w:sz w:val="24"/>
      <w:szCs w:val="24"/>
      <w:u w:val="single"/>
    </w:rPr>
  </w:style>
  <w:style w:type="character" w:customStyle="1" w:styleId="Heading8Char">
    <w:name w:val="Heading 8 Char"/>
    <w:basedOn w:val="DefaultParagraphFont"/>
    <w:link w:val="Heading8"/>
    <w:rsid w:val="00E3289C"/>
    <w:rPr>
      <w:rFonts w:ascii="Arial" w:eastAsia="Times New Roman" w:hAnsi="Arial" w:cs="Times New Roman"/>
      <w:b/>
      <w:sz w:val="24"/>
      <w:szCs w:val="24"/>
    </w:rPr>
  </w:style>
  <w:style w:type="paragraph" w:styleId="BodyText">
    <w:name w:val="Body Text"/>
    <w:basedOn w:val="Normal"/>
    <w:link w:val="BodyTextChar"/>
    <w:rsid w:val="00E3289C"/>
    <w:pPr>
      <w:jc w:val="both"/>
    </w:pPr>
    <w:rPr>
      <w:rFonts w:ascii="Arial" w:hAnsi="Arial" w:cs="Arial"/>
      <w:szCs w:val="20"/>
      <w:lang w:val="en-US"/>
    </w:rPr>
  </w:style>
  <w:style w:type="character" w:customStyle="1" w:styleId="BodyTextChar">
    <w:name w:val="Body Text Char"/>
    <w:basedOn w:val="DefaultParagraphFont"/>
    <w:link w:val="BodyText"/>
    <w:rsid w:val="00E3289C"/>
    <w:rPr>
      <w:rFonts w:ascii="Arial" w:eastAsia="Times New Roman" w:hAnsi="Arial" w:cs="Arial"/>
      <w:sz w:val="24"/>
      <w:szCs w:val="20"/>
      <w:lang w:val="en-US"/>
    </w:rPr>
  </w:style>
  <w:style w:type="paragraph" w:styleId="BodyTextIndent3">
    <w:name w:val="Body Text Indent 3"/>
    <w:basedOn w:val="Normal"/>
    <w:link w:val="BodyTextIndent3Char"/>
    <w:rsid w:val="00E3289C"/>
    <w:pPr>
      <w:ind w:left="270"/>
      <w:jc w:val="both"/>
    </w:pPr>
    <w:rPr>
      <w:rFonts w:ascii="Arial" w:hAnsi="Arial" w:cs="Arial"/>
      <w:b/>
      <w:bCs/>
      <w:i/>
      <w:iCs/>
      <w:color w:val="003366"/>
    </w:rPr>
  </w:style>
  <w:style w:type="character" w:customStyle="1" w:styleId="BodyTextIndent3Char">
    <w:name w:val="Body Text Indent 3 Char"/>
    <w:basedOn w:val="DefaultParagraphFont"/>
    <w:link w:val="BodyTextIndent3"/>
    <w:rsid w:val="00E3289C"/>
    <w:rPr>
      <w:rFonts w:ascii="Arial" w:eastAsia="Times New Roman" w:hAnsi="Arial" w:cs="Arial"/>
      <w:b/>
      <w:bCs/>
      <w:i/>
      <w:iCs/>
      <w:color w:val="003366"/>
      <w:sz w:val="24"/>
      <w:szCs w:val="24"/>
    </w:rPr>
  </w:style>
  <w:style w:type="paragraph" w:styleId="BodyTextIndent">
    <w:name w:val="Body Text Indent"/>
    <w:basedOn w:val="Normal"/>
    <w:link w:val="BodyTextIndentChar"/>
    <w:rsid w:val="00E3289C"/>
    <w:pPr>
      <w:ind w:left="284"/>
      <w:jc w:val="both"/>
    </w:pPr>
    <w:rPr>
      <w:sz w:val="22"/>
      <w:szCs w:val="20"/>
      <w:lang w:val="en-US"/>
    </w:rPr>
  </w:style>
  <w:style w:type="character" w:customStyle="1" w:styleId="BodyTextIndentChar">
    <w:name w:val="Body Text Indent Char"/>
    <w:basedOn w:val="DefaultParagraphFont"/>
    <w:link w:val="BodyTextIndent"/>
    <w:rsid w:val="00E3289C"/>
    <w:rPr>
      <w:rFonts w:ascii="Times New Roman" w:eastAsia="Times New Roman" w:hAnsi="Times New Roman" w:cs="Times New Roman"/>
      <w:szCs w:val="20"/>
      <w:lang w:val="en-US"/>
    </w:rPr>
  </w:style>
  <w:style w:type="paragraph" w:styleId="BodyTextIndent2">
    <w:name w:val="Body Text Indent 2"/>
    <w:basedOn w:val="Normal"/>
    <w:link w:val="BodyTextIndent2Char"/>
    <w:rsid w:val="00E3289C"/>
    <w:pPr>
      <w:ind w:left="681" w:hanging="397"/>
      <w:jc w:val="both"/>
    </w:pPr>
    <w:rPr>
      <w:sz w:val="22"/>
      <w:szCs w:val="20"/>
      <w:lang w:val="en-US"/>
    </w:rPr>
  </w:style>
  <w:style w:type="character" w:customStyle="1" w:styleId="BodyTextIndent2Char">
    <w:name w:val="Body Text Indent 2 Char"/>
    <w:basedOn w:val="DefaultParagraphFont"/>
    <w:link w:val="BodyTextIndent2"/>
    <w:rsid w:val="00E3289C"/>
    <w:rPr>
      <w:rFonts w:ascii="Times New Roman" w:eastAsia="Times New Roman" w:hAnsi="Times New Roman" w:cs="Times New Roman"/>
      <w:szCs w:val="20"/>
      <w:lang w:val="en-US"/>
    </w:rPr>
  </w:style>
  <w:style w:type="paragraph" w:styleId="BodyText2">
    <w:name w:val="Body Text 2"/>
    <w:basedOn w:val="Normal"/>
    <w:link w:val="BodyText2Char"/>
    <w:rsid w:val="00E3289C"/>
    <w:pPr>
      <w:jc w:val="both"/>
    </w:pPr>
    <w:rPr>
      <w:color w:val="000000"/>
      <w:sz w:val="22"/>
      <w:szCs w:val="20"/>
      <w:lang w:val="en-US"/>
    </w:rPr>
  </w:style>
  <w:style w:type="character" w:customStyle="1" w:styleId="BodyText2Char">
    <w:name w:val="Body Text 2 Char"/>
    <w:basedOn w:val="DefaultParagraphFont"/>
    <w:link w:val="BodyText2"/>
    <w:rsid w:val="00E3289C"/>
    <w:rPr>
      <w:rFonts w:ascii="Times New Roman" w:eastAsia="Times New Roman" w:hAnsi="Times New Roman" w:cs="Times New Roman"/>
      <w:color w:val="000000"/>
      <w:szCs w:val="20"/>
      <w:lang w:val="en-US"/>
    </w:rPr>
  </w:style>
  <w:style w:type="paragraph" w:styleId="BodyText3">
    <w:name w:val="Body Text 3"/>
    <w:basedOn w:val="Normal"/>
    <w:link w:val="BodyText3Char"/>
    <w:rsid w:val="00E3289C"/>
    <w:pPr>
      <w:keepNext/>
      <w:numPr>
        <w:ilvl w:val="12"/>
      </w:numPr>
      <w:jc w:val="both"/>
    </w:pPr>
    <w:rPr>
      <w:rFonts w:ascii="Arial" w:hAnsi="Arial" w:cs="Arial"/>
    </w:rPr>
  </w:style>
  <w:style w:type="character" w:customStyle="1" w:styleId="BodyText3Char">
    <w:name w:val="Body Text 3 Char"/>
    <w:basedOn w:val="DefaultParagraphFont"/>
    <w:link w:val="BodyText3"/>
    <w:rsid w:val="00E3289C"/>
    <w:rPr>
      <w:rFonts w:ascii="Arial" w:eastAsia="Times New Roman" w:hAnsi="Arial" w:cs="Arial"/>
      <w:sz w:val="24"/>
      <w:szCs w:val="24"/>
    </w:rPr>
  </w:style>
  <w:style w:type="paragraph" w:customStyle="1" w:styleId="memo">
    <w:name w:val="memo"/>
    <w:basedOn w:val="Normal"/>
    <w:rsid w:val="00E3289C"/>
    <w:pPr>
      <w:overflowPunct w:val="0"/>
      <w:autoSpaceDE w:val="0"/>
      <w:autoSpaceDN w:val="0"/>
      <w:adjustRightInd w:val="0"/>
      <w:ind w:right="-1440"/>
      <w:textAlignment w:val="baseline"/>
    </w:pPr>
    <w:rPr>
      <w:rFonts w:ascii="CG Times (WN)" w:hAnsi="CG Times (WN)"/>
      <w:szCs w:val="20"/>
    </w:rPr>
  </w:style>
  <w:style w:type="paragraph" w:styleId="BlockText">
    <w:name w:val="Block Text"/>
    <w:basedOn w:val="Normal"/>
    <w:rsid w:val="00E3289C"/>
    <w:pPr>
      <w:tabs>
        <w:tab w:val="left" w:pos="450"/>
      </w:tabs>
      <w:ind w:left="426" w:right="96" w:hanging="710"/>
    </w:pPr>
    <w:rPr>
      <w:rFonts w:ascii="Arial" w:hAnsi="Arial" w:cs="Arial"/>
    </w:rPr>
  </w:style>
  <w:style w:type="paragraph" w:styleId="Header">
    <w:name w:val="header"/>
    <w:basedOn w:val="Normal"/>
    <w:link w:val="HeaderChar"/>
    <w:rsid w:val="00E3289C"/>
    <w:pPr>
      <w:tabs>
        <w:tab w:val="center" w:pos="4153"/>
        <w:tab w:val="right" w:pos="8306"/>
      </w:tabs>
    </w:pPr>
  </w:style>
  <w:style w:type="character" w:customStyle="1" w:styleId="HeaderChar">
    <w:name w:val="Header Char"/>
    <w:basedOn w:val="DefaultParagraphFont"/>
    <w:link w:val="Header"/>
    <w:rsid w:val="00E3289C"/>
    <w:rPr>
      <w:rFonts w:ascii="Times New Roman" w:eastAsia="Times New Roman" w:hAnsi="Times New Roman" w:cs="Times New Roman"/>
      <w:sz w:val="24"/>
      <w:szCs w:val="24"/>
    </w:rPr>
  </w:style>
  <w:style w:type="paragraph" w:styleId="Footer">
    <w:name w:val="footer"/>
    <w:basedOn w:val="Normal"/>
    <w:link w:val="FooterChar"/>
    <w:rsid w:val="00E3289C"/>
    <w:pPr>
      <w:tabs>
        <w:tab w:val="center" w:pos="4153"/>
        <w:tab w:val="right" w:pos="8306"/>
      </w:tabs>
    </w:pPr>
  </w:style>
  <w:style w:type="character" w:customStyle="1" w:styleId="FooterChar">
    <w:name w:val="Footer Char"/>
    <w:basedOn w:val="DefaultParagraphFont"/>
    <w:link w:val="Footer"/>
    <w:rsid w:val="00E3289C"/>
    <w:rPr>
      <w:rFonts w:ascii="Times New Roman" w:eastAsia="Times New Roman" w:hAnsi="Times New Roman" w:cs="Times New Roman"/>
      <w:sz w:val="24"/>
      <w:szCs w:val="24"/>
    </w:rPr>
  </w:style>
  <w:style w:type="character" w:styleId="PageNumber">
    <w:name w:val="page number"/>
    <w:basedOn w:val="DefaultParagraphFont"/>
    <w:rsid w:val="00E3289C"/>
  </w:style>
  <w:style w:type="paragraph" w:styleId="DocumentMap">
    <w:name w:val="Document Map"/>
    <w:basedOn w:val="Normal"/>
    <w:link w:val="DocumentMapChar"/>
    <w:semiHidden/>
    <w:rsid w:val="00E3289C"/>
    <w:pPr>
      <w:shd w:val="clear" w:color="auto" w:fill="000080"/>
    </w:pPr>
    <w:rPr>
      <w:rFonts w:ascii="Tahoma" w:hAnsi="Tahoma"/>
    </w:rPr>
  </w:style>
  <w:style w:type="character" w:customStyle="1" w:styleId="DocumentMapChar">
    <w:name w:val="Document Map Char"/>
    <w:basedOn w:val="DefaultParagraphFont"/>
    <w:link w:val="DocumentMap"/>
    <w:semiHidden/>
    <w:rsid w:val="00E3289C"/>
    <w:rPr>
      <w:rFonts w:ascii="Tahoma" w:eastAsia="Times New Roman" w:hAnsi="Tahoma" w:cs="Times New Roman"/>
      <w:sz w:val="24"/>
      <w:szCs w:val="24"/>
      <w:shd w:val="clear" w:color="auto" w:fill="000080"/>
    </w:rPr>
  </w:style>
  <w:style w:type="paragraph" w:styleId="FootnoteText">
    <w:name w:val="footnote text"/>
    <w:basedOn w:val="Normal"/>
    <w:link w:val="FootnoteTextChar"/>
    <w:semiHidden/>
    <w:rsid w:val="00E3289C"/>
    <w:rPr>
      <w:sz w:val="20"/>
      <w:szCs w:val="20"/>
    </w:rPr>
  </w:style>
  <w:style w:type="character" w:customStyle="1" w:styleId="FootnoteTextChar">
    <w:name w:val="Footnote Text Char"/>
    <w:basedOn w:val="DefaultParagraphFont"/>
    <w:link w:val="FootnoteText"/>
    <w:semiHidden/>
    <w:rsid w:val="00E3289C"/>
    <w:rPr>
      <w:rFonts w:ascii="Times New Roman" w:eastAsia="Times New Roman" w:hAnsi="Times New Roman" w:cs="Times New Roman"/>
      <w:sz w:val="20"/>
      <w:szCs w:val="20"/>
    </w:rPr>
  </w:style>
  <w:style w:type="character" w:styleId="FootnoteReference">
    <w:name w:val="footnote reference"/>
    <w:semiHidden/>
    <w:rsid w:val="00E3289C"/>
    <w:rPr>
      <w:vertAlign w:val="superscript"/>
    </w:rPr>
  </w:style>
  <w:style w:type="paragraph" w:styleId="NormalWeb">
    <w:name w:val="Normal (Web)"/>
    <w:basedOn w:val="Normal"/>
    <w:rsid w:val="00E3289C"/>
    <w:pPr>
      <w:spacing w:before="100" w:beforeAutospacing="1" w:after="100" w:afterAutospacing="1"/>
    </w:pPr>
    <w:rPr>
      <w:rFonts w:ascii="Arial Unicode MS" w:eastAsia="Arial Unicode MS" w:hAnsi="Arial Unicode MS" w:cs="Arial Unicode MS"/>
    </w:rPr>
  </w:style>
  <w:style w:type="paragraph" w:styleId="BalloonText">
    <w:name w:val="Balloon Text"/>
    <w:basedOn w:val="Normal"/>
    <w:link w:val="BalloonTextChar"/>
    <w:semiHidden/>
    <w:rsid w:val="00E3289C"/>
    <w:rPr>
      <w:rFonts w:ascii="Tahoma" w:hAnsi="Tahoma" w:cs="Tahoma"/>
      <w:sz w:val="16"/>
      <w:szCs w:val="16"/>
    </w:rPr>
  </w:style>
  <w:style w:type="character" w:customStyle="1" w:styleId="BalloonTextChar">
    <w:name w:val="Balloon Text Char"/>
    <w:basedOn w:val="DefaultParagraphFont"/>
    <w:link w:val="BalloonText"/>
    <w:semiHidden/>
    <w:rsid w:val="00E3289C"/>
    <w:rPr>
      <w:rFonts w:ascii="Tahoma" w:eastAsia="Times New Roman" w:hAnsi="Tahoma" w:cs="Tahoma"/>
      <w:sz w:val="16"/>
      <w:szCs w:val="16"/>
    </w:rPr>
  </w:style>
  <w:style w:type="table" w:styleId="TableGrid">
    <w:name w:val="Table Grid"/>
    <w:basedOn w:val="TableNormal"/>
    <w:rsid w:val="00E3289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E3289C"/>
    <w:pPr>
      <w:spacing w:after="0" w:line="240" w:lineRule="auto"/>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E3289C"/>
    <w:pPr>
      <w:ind w:left="720"/>
    </w:pPr>
  </w:style>
  <w:style w:type="paragraph" w:styleId="Revision">
    <w:name w:val="Revision"/>
    <w:hidden/>
    <w:uiPriority w:val="99"/>
    <w:semiHidden/>
    <w:rsid w:val="00E3289C"/>
    <w:pPr>
      <w:spacing w:after="0" w:line="240" w:lineRule="auto"/>
    </w:pPr>
    <w:rPr>
      <w:rFonts w:ascii="Times New Roman" w:eastAsia="Times New Roman" w:hAnsi="Times New Roman" w:cs="Times New Roman"/>
      <w:sz w:val="24"/>
      <w:szCs w:val="24"/>
    </w:rPr>
  </w:style>
  <w:style w:type="paragraph" w:customStyle="1" w:styleId="ChapterHeading">
    <w:name w:val="Chapter Heading"/>
    <w:basedOn w:val="Normal"/>
    <w:uiPriority w:val="99"/>
    <w:semiHidden/>
    <w:rsid w:val="00E3289C"/>
    <w:pPr>
      <w:pageBreakBefore/>
      <w:numPr>
        <w:numId w:val="5"/>
      </w:numPr>
      <w:spacing w:before="120" w:after="120"/>
      <w:jc w:val="both"/>
    </w:pPr>
    <w:rPr>
      <w:rFonts w:ascii="Calibri" w:hAnsi="Calibri" w:cs="Arial"/>
      <w:b/>
      <w:noProof/>
      <w:spacing w:val="-5"/>
      <w:sz w:val="36"/>
      <w:szCs w:val="36"/>
    </w:rPr>
  </w:style>
  <w:style w:type="paragraph" w:customStyle="1" w:styleId="Subheading">
    <w:name w:val="Subheading"/>
    <w:basedOn w:val="BodyText"/>
    <w:link w:val="SubheadingChar"/>
    <w:uiPriority w:val="99"/>
    <w:semiHidden/>
    <w:rsid w:val="00E3289C"/>
    <w:pPr>
      <w:numPr>
        <w:ilvl w:val="1"/>
        <w:numId w:val="5"/>
      </w:numPr>
      <w:spacing w:before="270" w:after="180"/>
    </w:pPr>
    <w:rPr>
      <w:b/>
      <w:noProof/>
      <w:sz w:val="22"/>
      <w:szCs w:val="22"/>
      <w:lang w:val="en-GB"/>
    </w:rPr>
  </w:style>
  <w:style w:type="paragraph" w:customStyle="1" w:styleId="subhead">
    <w:name w:val="subhead"/>
    <w:basedOn w:val="Subheading"/>
    <w:link w:val="subheadChar"/>
    <w:uiPriority w:val="99"/>
    <w:rsid w:val="00E3289C"/>
  </w:style>
  <w:style w:type="character" w:customStyle="1" w:styleId="subheadChar">
    <w:name w:val="subhead Char"/>
    <w:link w:val="subhead"/>
    <w:uiPriority w:val="99"/>
    <w:locked/>
    <w:rsid w:val="00E3289C"/>
    <w:rPr>
      <w:rFonts w:ascii="Arial" w:eastAsia="Times New Roman" w:hAnsi="Arial" w:cs="Arial"/>
      <w:b/>
      <w:noProof/>
    </w:rPr>
  </w:style>
  <w:style w:type="paragraph" w:customStyle="1" w:styleId="Heading">
    <w:name w:val="Heading"/>
    <w:basedOn w:val="ChapterHeading"/>
    <w:link w:val="HeadingChar"/>
    <w:uiPriority w:val="99"/>
    <w:rsid w:val="00E3289C"/>
    <w:pPr>
      <w:pageBreakBefore w:val="0"/>
      <w:numPr>
        <w:numId w:val="8"/>
      </w:numPr>
    </w:pPr>
  </w:style>
  <w:style w:type="character" w:customStyle="1" w:styleId="HeadingChar">
    <w:name w:val="Heading Char"/>
    <w:link w:val="Heading"/>
    <w:uiPriority w:val="99"/>
    <w:locked/>
    <w:rsid w:val="00E3289C"/>
    <w:rPr>
      <w:rFonts w:ascii="Calibri" w:eastAsia="Times New Roman" w:hAnsi="Calibri" w:cs="Arial"/>
      <w:b/>
      <w:noProof/>
      <w:spacing w:val="-5"/>
      <w:sz w:val="36"/>
      <w:szCs w:val="36"/>
    </w:rPr>
  </w:style>
  <w:style w:type="paragraph" w:customStyle="1" w:styleId="body">
    <w:name w:val="body"/>
    <w:basedOn w:val="Normal"/>
    <w:link w:val="bodyChar"/>
    <w:uiPriority w:val="99"/>
    <w:rsid w:val="00E3289C"/>
    <w:pPr>
      <w:jc w:val="both"/>
    </w:pPr>
    <w:rPr>
      <w:rFonts w:ascii="Arial" w:hAnsi="Arial" w:cs="Arial"/>
      <w:noProof/>
      <w:spacing w:val="-5"/>
      <w:sz w:val="22"/>
      <w:szCs w:val="22"/>
    </w:rPr>
  </w:style>
  <w:style w:type="character" w:customStyle="1" w:styleId="bodyChar">
    <w:name w:val="body Char"/>
    <w:link w:val="body"/>
    <w:uiPriority w:val="99"/>
    <w:locked/>
    <w:rsid w:val="00E3289C"/>
    <w:rPr>
      <w:rFonts w:ascii="Arial" w:eastAsia="Times New Roman" w:hAnsi="Arial" w:cs="Arial"/>
      <w:noProof/>
      <w:spacing w:val="-5"/>
    </w:rPr>
  </w:style>
  <w:style w:type="character" w:styleId="CommentReference">
    <w:name w:val="annotation reference"/>
    <w:uiPriority w:val="99"/>
    <w:semiHidden/>
    <w:unhideWhenUsed/>
    <w:rsid w:val="00E3289C"/>
    <w:rPr>
      <w:sz w:val="16"/>
      <w:szCs w:val="16"/>
    </w:rPr>
  </w:style>
  <w:style w:type="paragraph" w:styleId="CommentText">
    <w:name w:val="annotation text"/>
    <w:basedOn w:val="Normal"/>
    <w:link w:val="CommentTextChar"/>
    <w:uiPriority w:val="99"/>
    <w:semiHidden/>
    <w:unhideWhenUsed/>
    <w:rsid w:val="00E3289C"/>
    <w:rPr>
      <w:sz w:val="20"/>
      <w:szCs w:val="20"/>
    </w:rPr>
  </w:style>
  <w:style w:type="character" w:customStyle="1" w:styleId="CommentTextChar">
    <w:name w:val="Comment Text Char"/>
    <w:basedOn w:val="DefaultParagraphFont"/>
    <w:link w:val="CommentText"/>
    <w:uiPriority w:val="99"/>
    <w:semiHidden/>
    <w:rsid w:val="00E328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289C"/>
    <w:rPr>
      <w:b/>
      <w:bCs/>
    </w:rPr>
  </w:style>
  <w:style w:type="character" w:customStyle="1" w:styleId="CommentSubjectChar">
    <w:name w:val="Comment Subject Char"/>
    <w:basedOn w:val="CommentTextChar"/>
    <w:link w:val="CommentSubject"/>
    <w:uiPriority w:val="99"/>
    <w:semiHidden/>
    <w:rsid w:val="00E3289C"/>
    <w:rPr>
      <w:rFonts w:ascii="Times New Roman" w:eastAsia="Times New Roman" w:hAnsi="Times New Roman" w:cs="Times New Roman"/>
      <w:b/>
      <w:bCs/>
      <w:sz w:val="20"/>
      <w:szCs w:val="20"/>
    </w:rPr>
  </w:style>
  <w:style w:type="character" w:customStyle="1" w:styleId="SubheadingChar">
    <w:name w:val="Subheading Char"/>
    <w:link w:val="Subheading"/>
    <w:uiPriority w:val="99"/>
    <w:semiHidden/>
    <w:locked/>
    <w:rsid w:val="00E3289C"/>
    <w:rPr>
      <w:rFonts w:ascii="Arial" w:eastAsia="Times New Roman" w:hAnsi="Arial" w:cs="Arial"/>
      <w:b/>
      <w:noProof/>
    </w:rPr>
  </w:style>
  <w:style w:type="paragraph" w:customStyle="1" w:styleId="Default">
    <w:name w:val="Default"/>
    <w:rsid w:val="00E3289C"/>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27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8583</Words>
  <Characters>46869</Characters>
  <Application>Microsoft Office Word</Application>
  <DocSecurity>0</DocSecurity>
  <Lines>1464</Lines>
  <Paragraphs>693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Dipesh Patel</dc:creator>
  <cp:keywords/>
  <dc:description/>
  <cp:lastModifiedBy>Megan Philbin</cp:lastModifiedBy>
  <cp:revision>2</cp:revision>
  <dcterms:created xsi:type="dcterms:W3CDTF">2026-09-10T10:54:00Z</dcterms:created>
  <dcterms:modified xsi:type="dcterms:W3CDTF">2026-09-10T10:54:00Z</dcterms:modified>
</cp:coreProperties>
</file>